
<file path=[Content_Types].xml><?xml version="1.0" encoding="utf-8"?>
<Types xmlns="http://schemas.openxmlformats.org/package/2006/content-types">
  <Default Extension="png" ContentType="image/png"/>
  <Default Extension="jpeg" ContentType="image/jpeg"/>
  <Default Extension="JPG" ContentType="image/.jp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0EBFE">
      <w:pPr>
        <w:pStyle w:val="2"/>
        <w:spacing w:before="88" w:line="240" w:lineRule="auto"/>
        <w:ind w:left="21"/>
        <w:outlineLvl w:val="0"/>
        <w:rPr>
          <w:rFonts w:hint="eastAsia" w:ascii="微软雅黑" w:hAnsi="微软雅黑" w:eastAsia="微软雅黑" w:cs="微软雅黑"/>
          <w:b/>
          <w:bCs/>
          <w:color w:val="32373F"/>
          <w:spacing w:val="-2"/>
          <w:sz w:val="45"/>
          <w:szCs w:val="45"/>
        </w:rPr>
      </w:pPr>
    </w:p>
    <w:p w14:paraId="155AE983">
      <w:pPr>
        <w:pStyle w:val="2"/>
        <w:spacing w:before="88" w:line="240" w:lineRule="auto"/>
        <w:ind w:left="21"/>
        <w:outlineLvl w:val="0"/>
        <w:rPr>
          <w:rFonts w:hint="eastAsia" w:ascii="微软雅黑" w:hAnsi="微软雅黑" w:eastAsia="微软雅黑" w:cs="微软雅黑"/>
          <w:b/>
          <w:bCs/>
          <w:color w:val="32373F"/>
          <w:spacing w:val="-2"/>
          <w:sz w:val="45"/>
          <w:szCs w:val="45"/>
        </w:rPr>
      </w:pPr>
    </w:p>
    <w:p w14:paraId="1D6C2244">
      <w:pPr>
        <w:pStyle w:val="2"/>
        <w:spacing w:before="88" w:line="240" w:lineRule="auto"/>
        <w:ind w:left="21"/>
        <w:outlineLvl w:val="0"/>
        <w:rPr>
          <w:rFonts w:hint="eastAsia" w:ascii="微软雅黑" w:hAnsi="微软雅黑" w:eastAsia="微软雅黑" w:cs="微软雅黑"/>
          <w:b/>
          <w:bCs/>
          <w:color w:val="32373F"/>
          <w:spacing w:val="-2"/>
          <w:sz w:val="45"/>
          <w:szCs w:val="45"/>
        </w:rPr>
      </w:pP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97"/>
      </w:tblGrid>
      <w:tr w14:paraId="0D545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sdt>
          <w:sdtPr>
            <w:rPr>
              <w:rFonts w:ascii="Times New Roman" w:hAnsi="Times New Roman" w:eastAsia="宋体" w:cs="Times New Roman"/>
              <w:kern w:val="0"/>
              <w:sz w:val="44"/>
              <w:szCs w:val="44"/>
              <w:lang w:val="en-US" w:eastAsia="zh-CN" w:bidi="ar-SA"/>
            </w:rPr>
            <w:alias w:val="标题"/>
            <w:id w:val="1562596581"/>
            <w:placeholder>
              <w:docPart w:val="{5d05e87d-3917-4809-8006-8760b18713d7}"/>
            </w:placeholder>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snapToGrid/>
              <w:kern w:val="0"/>
              <w:sz w:val="44"/>
              <w:szCs w:val="44"/>
              <w:lang w:val="en-US" w:eastAsia="zh-CN" w:bidi="ar-SA"/>
            </w:rPr>
          </w:sdtEndPr>
          <w:sdtContent>
            <w:tc>
              <w:tcPr>
                <w:tcW w:w="7797" w:type="dxa"/>
                <w:tcBorders>
                  <w:bottom w:val="single" w:color="auto" w:sz="4" w:space="0"/>
                </w:tcBorders>
              </w:tcPr>
              <w:p w14:paraId="0E8B33F1">
                <w:pPr>
                  <w:widowControl w:val="0"/>
                  <w:kinsoku/>
                  <w:autoSpaceDE/>
                  <w:autoSpaceDN/>
                  <w:adjustRightInd/>
                  <w:snapToGrid/>
                  <w:spacing w:line="360" w:lineRule="auto"/>
                  <w:jc w:val="center"/>
                  <w:textAlignment w:val="auto"/>
                  <w:rPr>
                    <w:rFonts w:ascii="Times New Roman" w:hAnsi="Times New Roman" w:eastAsia="宋体" w:cs="Times New Roman"/>
                    <w:snapToGrid/>
                    <w:kern w:val="2"/>
                    <w:sz w:val="44"/>
                    <w:szCs w:val="44"/>
                    <w:lang w:eastAsia="zh-CN"/>
                  </w:rPr>
                </w:pPr>
                <w:r>
                  <w:rPr>
                    <w:rFonts w:ascii="Times New Roman" w:hAnsi="Times New Roman" w:eastAsia="宋体" w:cs="Times New Roman"/>
                    <w:snapToGrid/>
                    <w:kern w:val="0"/>
                    <w:sz w:val="44"/>
                    <w:szCs w:val="44"/>
                    <w:lang w:eastAsia="zh-CN"/>
                  </w:rPr>
                  <w:t>“探路者一号”技术试验卫星工程A星</w:t>
                </w:r>
              </w:p>
            </w:tc>
          </w:sdtContent>
        </w:sdt>
      </w:tr>
      <w:tr w14:paraId="34D1C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kern w:val="2"/>
              <w:sz w:val="44"/>
              <w:szCs w:val="44"/>
              <w:lang w:val="en-US" w:eastAsia="zh-CN" w:bidi="ar-SA"/>
            </w:rPr>
            <w:alias w:val="主题"/>
            <w:id w:val="-700697609"/>
            <w:placeholder>
              <w:docPart w:val="{c3258f87-13bc-4cdc-aa44-9a9a74801f0d}"/>
            </w:placeholder>
            <w:dataBinding w:prefixMappings="xmlns:ns0='http://purl.org/dc/elements/1.1/' xmlns:ns1='http://schemas.openxmlformats.org/package/2006/metadata/core-properties' " w:xpath="/ns1:coreProperties[1]/ns0:subject[1]" w:storeItemID="{6C3C8BC8-F283-45AE-878A-BAB7291924A1}"/>
            <w:text/>
          </w:sdtPr>
          <w:sdtEndPr>
            <w:rPr>
              <w:rFonts w:hint="eastAsia" w:ascii="Times New Roman" w:hAnsi="Times New Roman" w:eastAsia="宋体" w:cs="Times New Roman"/>
              <w:snapToGrid/>
              <w:kern w:val="2"/>
              <w:sz w:val="44"/>
              <w:szCs w:val="44"/>
              <w:lang w:val="en-US" w:eastAsia="zh-CN" w:bidi="ar-SA"/>
            </w:rPr>
          </w:sdtEndPr>
          <w:sdtContent>
            <w:tc>
              <w:tcPr>
                <w:tcW w:w="7797" w:type="dxa"/>
                <w:tcBorders>
                  <w:top w:val="single" w:color="auto" w:sz="4" w:space="0"/>
                  <w:bottom w:val="single" w:color="auto" w:sz="4" w:space="0"/>
                </w:tcBorders>
              </w:tcPr>
              <w:p w14:paraId="78AD8B9B">
                <w:pPr>
                  <w:widowControl w:val="0"/>
                  <w:kinsoku/>
                  <w:autoSpaceDE/>
                  <w:autoSpaceDN/>
                  <w:adjustRightInd/>
                  <w:snapToGrid/>
                  <w:spacing w:line="360" w:lineRule="auto"/>
                  <w:jc w:val="center"/>
                  <w:textAlignment w:val="auto"/>
                  <w:rPr>
                    <w:rFonts w:ascii="Times New Roman" w:hAnsi="Times New Roman" w:eastAsia="宋体" w:cs="Times New Roman"/>
                    <w:snapToGrid/>
                    <w:kern w:val="2"/>
                    <w:sz w:val="44"/>
                    <w:szCs w:val="44"/>
                    <w:lang w:eastAsia="zh-CN"/>
                  </w:rPr>
                </w:pPr>
                <w:r>
                  <w:rPr>
                    <w:rFonts w:hint="eastAsia" w:ascii="Times New Roman" w:hAnsi="Times New Roman" w:eastAsia="宋体" w:cs="Times New Roman"/>
                    <w:snapToGrid/>
                    <w:kern w:val="2"/>
                    <w:sz w:val="44"/>
                    <w:szCs w:val="44"/>
                    <w:lang w:eastAsia="zh-CN"/>
                  </w:rPr>
                  <w:t>VLAST探路者载荷正样定标报告</w:t>
                </w:r>
              </w:p>
            </w:tc>
          </w:sdtContent>
        </w:sdt>
      </w:tr>
    </w:tbl>
    <w:p w14:paraId="510F543B">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p w14:paraId="5FE06FDA">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p w14:paraId="402FED8A">
      <w:pPr>
        <w:widowControl w:val="0"/>
        <w:kinsoku/>
        <w:autoSpaceDE/>
        <w:autoSpaceDN/>
        <w:adjustRightInd/>
        <w:snapToGrid/>
        <w:spacing w:line="360" w:lineRule="auto"/>
        <w:jc w:val="both"/>
        <w:textAlignment w:val="auto"/>
        <w:rPr>
          <w:rFonts w:ascii="Times New Roman" w:hAnsi="Times New Roman" w:eastAsia="等线" w:cs="Times New Roman"/>
          <w:snapToGrid/>
          <w:kern w:val="2"/>
          <w:lang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017"/>
        <w:gridCol w:w="1595"/>
        <w:gridCol w:w="1807"/>
      </w:tblGrid>
      <w:tr w14:paraId="3610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09B89DD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科  目</w:t>
            </w:r>
          </w:p>
        </w:tc>
        <w:tc>
          <w:tcPr>
            <w:tcW w:w="2017" w:type="dxa"/>
            <w:vAlign w:val="center"/>
          </w:tcPr>
          <w:p w14:paraId="0A8B879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人  员</w:t>
            </w:r>
          </w:p>
        </w:tc>
        <w:tc>
          <w:tcPr>
            <w:tcW w:w="1595" w:type="dxa"/>
            <w:vAlign w:val="center"/>
          </w:tcPr>
          <w:p w14:paraId="25DC65F9">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日  期</w:t>
            </w:r>
          </w:p>
        </w:tc>
        <w:tc>
          <w:tcPr>
            <w:tcW w:w="1807" w:type="dxa"/>
            <w:vAlign w:val="center"/>
          </w:tcPr>
          <w:p w14:paraId="1340BFF3">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签  名</w:t>
            </w:r>
          </w:p>
        </w:tc>
      </w:tr>
      <w:tr w14:paraId="4141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34F6DD7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编  写</w:t>
            </w:r>
          </w:p>
        </w:tc>
        <w:tc>
          <w:tcPr>
            <w:tcW w:w="2017" w:type="dxa"/>
            <w:vAlign w:val="center"/>
          </w:tcPr>
          <w:p w14:paraId="7D9A8A12">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2CAFDA1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714D65A9">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68CA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1B21E5A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校  对</w:t>
            </w:r>
          </w:p>
        </w:tc>
        <w:tc>
          <w:tcPr>
            <w:tcW w:w="2017" w:type="dxa"/>
            <w:vAlign w:val="center"/>
          </w:tcPr>
          <w:p w14:paraId="7E738B28">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31AE81C8">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0EB5A01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1070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vAlign w:val="center"/>
          </w:tcPr>
          <w:p w14:paraId="3323E51D">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审  核</w:t>
            </w:r>
          </w:p>
        </w:tc>
        <w:tc>
          <w:tcPr>
            <w:tcW w:w="2017" w:type="dxa"/>
            <w:vAlign w:val="center"/>
          </w:tcPr>
          <w:p w14:paraId="03195751">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7E37605D">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2D78DADB">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41D7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806" w:type="dxa"/>
            <w:vAlign w:val="center"/>
          </w:tcPr>
          <w:p w14:paraId="5357F5D5">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标  审</w:t>
            </w:r>
          </w:p>
        </w:tc>
        <w:tc>
          <w:tcPr>
            <w:tcW w:w="2017" w:type="dxa"/>
            <w:vAlign w:val="center"/>
          </w:tcPr>
          <w:p w14:paraId="707EC74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595" w:type="dxa"/>
            <w:vAlign w:val="center"/>
          </w:tcPr>
          <w:p w14:paraId="4AAF623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4557515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r w14:paraId="2B91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806" w:type="dxa"/>
            <w:vAlign w:val="center"/>
          </w:tcPr>
          <w:p w14:paraId="79607194">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r>
              <w:rPr>
                <w:rFonts w:ascii="Times New Roman" w:hAnsi="Times New Roman" w:eastAsia="黑体" w:cs="Times New Roman"/>
                <w:snapToGrid/>
                <w:kern w:val="2"/>
                <w:sz w:val="28"/>
                <w:szCs w:val="28"/>
                <w:lang w:eastAsia="zh-CN"/>
              </w:rPr>
              <w:t>批  准</w:t>
            </w:r>
          </w:p>
        </w:tc>
        <w:tc>
          <w:tcPr>
            <w:tcW w:w="2017" w:type="dxa"/>
            <w:vAlign w:val="center"/>
          </w:tcPr>
          <w:p w14:paraId="03F23F8B">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bookmarkStart w:id="0" w:name="_GoBack"/>
            <w:bookmarkEnd w:id="0"/>
          </w:p>
        </w:tc>
        <w:tc>
          <w:tcPr>
            <w:tcW w:w="1595" w:type="dxa"/>
            <w:vAlign w:val="center"/>
          </w:tcPr>
          <w:p w14:paraId="7F7C65E0">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c>
          <w:tcPr>
            <w:tcW w:w="1807" w:type="dxa"/>
            <w:vAlign w:val="center"/>
          </w:tcPr>
          <w:p w14:paraId="625D2CEC">
            <w:pPr>
              <w:widowControl w:val="0"/>
              <w:kinsoku/>
              <w:autoSpaceDE/>
              <w:autoSpaceDN/>
              <w:adjustRightInd/>
              <w:snapToGrid/>
              <w:spacing w:line="360" w:lineRule="auto"/>
              <w:jc w:val="center"/>
              <w:textAlignment w:val="auto"/>
              <w:rPr>
                <w:rFonts w:ascii="Times New Roman" w:hAnsi="Times New Roman" w:eastAsia="黑体" w:cs="Times New Roman"/>
                <w:snapToGrid/>
                <w:kern w:val="2"/>
                <w:sz w:val="28"/>
                <w:szCs w:val="28"/>
                <w:lang w:eastAsia="zh-CN"/>
              </w:rPr>
            </w:pPr>
          </w:p>
        </w:tc>
      </w:tr>
    </w:tbl>
    <w:p w14:paraId="5CABFDC0">
      <w:pPr>
        <w:pStyle w:val="2"/>
        <w:spacing w:before="88" w:line="240" w:lineRule="auto"/>
        <w:ind w:left="21"/>
        <w:outlineLvl w:val="0"/>
        <w:rPr>
          <w:rFonts w:hint="eastAsia" w:ascii="微软雅黑" w:hAnsi="微软雅黑" w:eastAsia="微软雅黑" w:cs="微软雅黑"/>
          <w:b/>
          <w:bCs/>
          <w:color w:val="32373F"/>
          <w:spacing w:val="-2"/>
          <w:sz w:val="45"/>
          <w:szCs w:val="45"/>
        </w:rPr>
      </w:pPr>
    </w:p>
    <w:p w14:paraId="3CD51200">
      <w:pPr>
        <w:pStyle w:val="2"/>
        <w:spacing w:before="88" w:line="240" w:lineRule="auto"/>
        <w:ind w:left="21"/>
        <w:outlineLvl w:val="0"/>
        <w:rPr>
          <w:rFonts w:hint="eastAsia" w:ascii="微软雅黑" w:hAnsi="微软雅黑" w:eastAsia="微软雅黑" w:cs="微软雅黑"/>
          <w:b/>
          <w:bCs/>
          <w:color w:val="32373F"/>
          <w:spacing w:val="-2"/>
          <w:sz w:val="45"/>
          <w:szCs w:val="45"/>
        </w:rPr>
      </w:pPr>
    </w:p>
    <w:p w14:paraId="070203DC">
      <w:pPr>
        <w:pStyle w:val="2"/>
        <w:spacing w:before="88" w:line="240" w:lineRule="auto"/>
        <w:ind w:left="21"/>
        <w:outlineLvl w:val="0"/>
        <w:rPr>
          <w:rFonts w:hint="eastAsia" w:ascii="微软雅黑" w:hAnsi="微软雅黑" w:eastAsia="微软雅黑" w:cs="微软雅黑"/>
          <w:b/>
          <w:bCs/>
          <w:color w:val="32373F"/>
          <w:spacing w:val="-2"/>
          <w:sz w:val="45"/>
          <w:szCs w:val="45"/>
        </w:rPr>
      </w:pPr>
    </w:p>
    <w:p w14:paraId="05920EA9">
      <w:pPr>
        <w:pStyle w:val="2"/>
        <w:spacing w:before="88" w:line="240" w:lineRule="auto"/>
        <w:ind w:left="21"/>
        <w:jc w:val="center"/>
        <w:outlineLvl w:val="0"/>
        <w:rPr>
          <w:rFonts w:hint="eastAsia" w:ascii="Times New Roman" w:hAnsi="Times New Roman" w:eastAsia="黑体" w:cs="Times New Roman"/>
          <w:snapToGrid/>
          <w:kern w:val="2"/>
          <w:sz w:val="32"/>
          <w:szCs w:val="32"/>
          <w:lang w:val="en-US" w:eastAsia="zh-CN"/>
        </w:rPr>
      </w:pPr>
      <w:r>
        <w:rPr>
          <w:rFonts w:ascii="Times New Roman" w:hAnsi="Times New Roman" w:eastAsia="黑体" w:cs="Times New Roman"/>
          <w:snapToGrid/>
          <w:kern w:val="2"/>
          <w:sz w:val="32"/>
          <w:szCs w:val="32"/>
          <w:lang w:eastAsia="zh-CN"/>
        </w:rPr>
        <w:t>中国</w:t>
      </w:r>
      <w:r>
        <w:rPr>
          <w:rFonts w:hint="eastAsia" w:ascii="Times New Roman" w:hAnsi="Times New Roman" w:eastAsia="黑体" w:cs="Times New Roman"/>
          <w:snapToGrid/>
          <w:kern w:val="2"/>
          <w:sz w:val="32"/>
          <w:szCs w:val="32"/>
          <w:lang w:val="en-US" w:eastAsia="zh-CN"/>
        </w:rPr>
        <w:t>科学技术大学</w:t>
      </w:r>
    </w:p>
    <w:p w14:paraId="2D87B17E">
      <w:pPr>
        <w:pStyle w:val="2"/>
        <w:spacing w:before="88" w:line="240" w:lineRule="auto"/>
        <w:ind w:left="21"/>
        <w:jc w:val="center"/>
        <w:outlineLvl w:val="0"/>
        <w:rPr>
          <w:rFonts w:hint="eastAsia" w:ascii="微软雅黑" w:hAnsi="微软雅黑" w:eastAsia="微软雅黑" w:cs="微软雅黑"/>
          <w:b/>
          <w:bCs/>
          <w:color w:val="32373F"/>
          <w:spacing w:val="-2"/>
          <w:sz w:val="45"/>
          <w:szCs w:val="45"/>
        </w:rPr>
        <w:sectPr>
          <w:headerReference r:id="rId5" w:type="first"/>
          <w:pgSz w:w="11919" w:h="16858"/>
          <w:pgMar w:top="2268" w:right="1077" w:bottom="1440" w:left="1077" w:header="0" w:footer="0" w:gutter="0"/>
          <w:pgBorders w:display="firstPage">
            <w:top w:val="thinThickSmallGap" w:color="auto" w:sz="24" w:space="1"/>
            <w:left w:val="thinThickSmallGap" w:color="auto" w:sz="24" w:space="4"/>
            <w:bottom w:val="thinThickSmallGap" w:color="auto" w:sz="24" w:space="1"/>
            <w:right w:val="thinThickSmallGap" w:color="auto" w:sz="24" w:space="4"/>
          </w:pgBorders>
          <w:cols w:space="720" w:num="1"/>
          <w:titlePg/>
        </w:sectPr>
      </w:pPr>
      <w:r>
        <w:rPr>
          <w:rFonts w:ascii="Times New Roman" w:hAnsi="Times New Roman" w:eastAsia="黑体" w:cs="Times New Roman"/>
          <w:sz w:val="32"/>
          <w:szCs w:val="32"/>
        </w:rPr>
        <w:t>202</w:t>
      </w:r>
      <w:r>
        <w:rPr>
          <w:rFonts w:hint="eastAsia" w:ascii="Times New Roman" w:hAnsi="Times New Roman" w:eastAsia="黑体" w:cs="Times New Roman"/>
          <w:sz w:val="32"/>
          <w:szCs w:val="32"/>
        </w:rPr>
        <w:t>6</w:t>
      </w:r>
      <w:r>
        <w:rPr>
          <w:rFonts w:ascii="Times New Roman" w:hAnsi="Times New Roman" w:eastAsia="黑体" w:cs="Times New Roman"/>
          <w:sz w:val="32"/>
          <w:szCs w:val="32"/>
        </w:rPr>
        <w:t>年0</w:t>
      </w:r>
      <w:r>
        <w:rPr>
          <w:rFonts w:hint="eastAsia" w:ascii="Times New Roman" w:hAnsi="Times New Roman" w:eastAsia="黑体" w:cs="Times New Roman"/>
          <w:sz w:val="32"/>
          <w:szCs w:val="32"/>
        </w:rPr>
        <w:t>5</w:t>
      </w:r>
      <w:r>
        <w:rPr>
          <w:rFonts w:ascii="Times New Roman" w:hAnsi="Times New Roman" w:eastAsia="黑体" w:cs="Times New Roman"/>
          <w:sz w:val="32"/>
          <w:szCs w:val="32"/>
        </w:rPr>
        <w:t>月</w:t>
      </w:r>
    </w:p>
    <w:p w14:paraId="408FE788">
      <w:pPr>
        <w:pStyle w:val="2"/>
        <w:spacing w:before="88" w:line="240" w:lineRule="auto"/>
        <w:ind w:left="21"/>
        <w:outlineLvl w:val="0"/>
        <w:rPr>
          <w:b/>
          <w:bCs/>
          <w:color w:val="32373F"/>
          <w:spacing w:val="-2"/>
          <w:sz w:val="45"/>
          <w:szCs w:val="45"/>
        </w:rPr>
      </w:pPr>
      <w:r>
        <w:rPr>
          <w:b/>
          <w:bCs/>
          <w:color w:val="32373F"/>
          <w:spacing w:val="-2"/>
          <w:sz w:val="45"/>
          <w:szCs w:val="45"/>
        </w:rPr>
        <w:t>Calo</w:t>
      </w:r>
      <w:r>
        <w:rPr>
          <w:rFonts w:ascii="微软雅黑" w:hAnsi="微软雅黑" w:eastAsia="微软雅黑" w:cs="微软雅黑"/>
          <w:b/>
          <w:bCs/>
          <w:color w:val="32373F"/>
          <w:spacing w:val="-2"/>
          <w:sz w:val="45"/>
          <w:szCs w:val="45"/>
        </w:rPr>
        <w:t>热真空实验测试报告</w:t>
      </w:r>
      <w:r>
        <w:rPr>
          <w:b/>
          <w:bCs/>
          <w:color w:val="32373F"/>
          <w:spacing w:val="-2"/>
          <w:sz w:val="45"/>
          <w:szCs w:val="45"/>
        </w:rPr>
        <w:t>v2</w:t>
      </w:r>
    </w:p>
    <w:p w14:paraId="225844B9">
      <w:pPr>
        <w:pStyle w:val="2"/>
        <w:spacing w:before="88" w:line="183" w:lineRule="auto"/>
        <w:ind w:left="21"/>
        <w:outlineLvl w:val="0"/>
      </w:pPr>
      <w:r>
        <w:drawing>
          <wp:inline distT="0" distB="0" distL="0" distR="0">
            <wp:extent cx="6572250" cy="76200"/>
            <wp:effectExtent l="0" t="0" r="11430" b="0"/>
            <wp:docPr id="7" name="IM 2"/>
            <wp:cNvGraphicFramePr/>
            <a:graphic xmlns:a="http://schemas.openxmlformats.org/drawingml/2006/main">
              <a:graphicData uri="http://schemas.openxmlformats.org/drawingml/2006/picture">
                <pic:pic xmlns:pic="http://schemas.openxmlformats.org/drawingml/2006/picture">
                  <pic:nvPicPr>
                    <pic:cNvPr id="7" name="IM 2"/>
                    <pic:cNvPicPr/>
                  </pic:nvPicPr>
                  <pic:blipFill>
                    <a:blip r:embed="rId9"/>
                    <a:stretch>
                      <a:fillRect/>
                    </a:stretch>
                  </pic:blipFill>
                  <pic:spPr>
                    <a:xfrm>
                      <a:off x="0" y="0"/>
                      <a:ext cx="6572250" cy="76200"/>
                    </a:xfrm>
                    <a:prstGeom prst="rect">
                      <a:avLst/>
                    </a:prstGeom>
                  </pic:spPr>
                </pic:pic>
              </a:graphicData>
            </a:graphic>
          </wp:inline>
        </w:drawing>
      </w:r>
    </w:p>
    <w:p w14:paraId="39852B1F">
      <w:pPr>
        <w:pStyle w:val="2"/>
        <w:spacing w:before="88" w:line="183" w:lineRule="auto"/>
        <w:ind w:left="21"/>
        <w:outlineLvl w:val="0"/>
        <w:rPr>
          <w:rFonts w:hint="eastAsia"/>
        </w:rPr>
      </w:pPr>
    </w:p>
    <w:p w14:paraId="01EF9F79">
      <w:pPr>
        <w:pStyle w:val="2"/>
        <w:spacing w:before="88" w:line="240" w:lineRule="auto"/>
        <w:ind w:left="21"/>
        <w:outlineLvl w:val="0"/>
        <w:rPr>
          <w:rFonts w:hint="eastAsia" w:ascii="微软雅黑" w:hAnsi="微软雅黑" w:eastAsia="宋体" w:cs="微软雅黑"/>
          <w:b/>
          <w:bCs/>
          <w:color w:val="32373F"/>
          <w:spacing w:val="6"/>
          <w:sz w:val="33"/>
          <w:szCs w:val="33"/>
          <w:lang w:val="en-US" w:eastAsia="zh-CN"/>
        </w:rPr>
      </w:pPr>
      <w:r>
        <w:rPr>
          <w:rFonts w:hint="eastAsia" w:ascii="微软雅黑" w:hAnsi="微软雅黑" w:eastAsia="微软雅黑" w:cs="微软雅黑"/>
          <w:b/>
          <w:bCs/>
          <w:color w:val="32373F"/>
          <w:spacing w:val="6"/>
          <w:sz w:val="33"/>
          <w:szCs w:val="33"/>
        </w:rPr>
        <w:t>热真空实验报告</w:t>
      </w:r>
      <w:r>
        <w:drawing>
          <wp:inline distT="0" distB="0" distL="0" distR="0">
            <wp:extent cx="6572250" cy="19050"/>
            <wp:effectExtent l="0" t="0" r="11430" b="381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9"/>
                    <a:stretch>
                      <a:fillRect/>
                    </a:stretch>
                  </pic:blipFill>
                  <pic:spPr>
                    <a:xfrm>
                      <a:off x="0" y="0"/>
                      <a:ext cx="6572250" cy="19050"/>
                    </a:xfrm>
                    <a:prstGeom prst="rect">
                      <a:avLst/>
                    </a:prstGeom>
                  </pic:spPr>
                </pic:pic>
              </a:graphicData>
            </a:graphic>
          </wp:inline>
        </w:drawing>
      </w:r>
    </w:p>
    <w:p w14:paraId="707DA9C6">
      <w:pPr>
        <w:pStyle w:val="9"/>
        <w:spacing w:before="240"/>
        <w:ind w:left="1"/>
      </w:pPr>
      <w:r>
        <w:rPr>
          <w:color w:val="32373F"/>
          <w:spacing w:val="1"/>
        </w:rPr>
        <w:t>测试时间：</w:t>
      </w:r>
      <w:r>
        <w:rPr>
          <w:color w:val="32373F"/>
          <w:spacing w:val="-31"/>
        </w:rPr>
        <w:t xml:space="preserve"> </w:t>
      </w:r>
      <w:r>
        <w:rPr>
          <w:rFonts w:ascii="Arial" w:hAnsi="Arial" w:eastAsia="Arial" w:cs="Arial"/>
          <w:color w:val="32373F"/>
          <w:spacing w:val="1"/>
        </w:rPr>
        <w:t xml:space="preserve">2026 </w:t>
      </w:r>
      <w:r>
        <w:rPr>
          <w:color w:val="32373F"/>
          <w:spacing w:val="1"/>
        </w:rPr>
        <w:t xml:space="preserve">年 </w:t>
      </w:r>
      <w:r>
        <w:rPr>
          <w:rFonts w:ascii="Arial" w:hAnsi="Arial" w:eastAsia="Arial" w:cs="Arial"/>
          <w:color w:val="32373F"/>
          <w:spacing w:val="1"/>
        </w:rPr>
        <w:t xml:space="preserve">4 </w:t>
      </w:r>
      <w:r>
        <w:rPr>
          <w:color w:val="32373F"/>
          <w:spacing w:val="1"/>
        </w:rPr>
        <w:t>月</w:t>
      </w:r>
    </w:p>
    <w:p w14:paraId="55EC8AB9">
      <w:pPr>
        <w:pStyle w:val="9"/>
        <w:spacing w:before="24" w:line="187" w:lineRule="auto"/>
        <w:ind w:left="1"/>
      </w:pPr>
      <w:r>
        <w:rPr>
          <w:color w:val="32373F"/>
          <w:spacing w:val="4"/>
        </w:rPr>
        <w:t>测试地点：烟台五一三所</w:t>
      </w:r>
    </w:p>
    <w:p w14:paraId="633E6352">
      <w:pPr>
        <w:pStyle w:val="9"/>
        <w:spacing w:before="65" w:line="187" w:lineRule="auto"/>
        <w:ind w:left="3"/>
      </w:pPr>
      <w:r>
        <w:rPr>
          <w:color w:val="32373F"/>
          <w:spacing w:val="4"/>
        </w:rPr>
        <w:t>报告人：王家轩，温悦廷，</w:t>
      </w:r>
      <w:r>
        <w:rPr>
          <w:rFonts w:hint="eastAsia"/>
          <w:color w:val="32373F"/>
          <w:spacing w:val="4"/>
          <w:lang w:val="en-US" w:eastAsia="zh-CN"/>
        </w:rPr>
        <w:t>彭柏融</w:t>
      </w:r>
    </w:p>
    <w:p w14:paraId="18B3F6EC">
      <w:pPr>
        <w:pStyle w:val="9"/>
        <w:spacing w:before="124" w:line="184" w:lineRule="auto"/>
        <w:ind w:left="23"/>
        <w:rPr>
          <w:rFonts w:ascii="Arial" w:hAnsi="Arial" w:eastAsia="Arial" w:cs="Arial"/>
          <w:b/>
          <w:bCs/>
          <w:color w:val="32373F"/>
          <w:spacing w:val="-2"/>
          <w:sz w:val="29"/>
          <w:szCs w:val="29"/>
        </w:rPr>
      </w:pPr>
    </w:p>
    <w:p w14:paraId="16500E41">
      <w:pPr>
        <w:pStyle w:val="9"/>
        <w:spacing w:before="124" w:line="184" w:lineRule="auto"/>
        <w:ind w:left="23"/>
        <w:rPr>
          <w:sz w:val="29"/>
          <w:szCs w:val="29"/>
        </w:rPr>
      </w:pPr>
      <w:r>
        <w:rPr>
          <w:rFonts w:ascii="Arial" w:hAnsi="Arial" w:eastAsia="Arial" w:cs="Arial"/>
          <w:b/>
          <w:bCs/>
          <w:color w:val="32373F"/>
          <w:spacing w:val="-2"/>
          <w:sz w:val="29"/>
          <w:szCs w:val="29"/>
        </w:rPr>
        <w:t xml:space="preserve">1. </w:t>
      </w:r>
      <w:r>
        <w:rPr>
          <w:b/>
          <w:bCs/>
          <w:color w:val="32373F"/>
          <w:spacing w:val="-2"/>
          <w:sz w:val="29"/>
          <w:szCs w:val="29"/>
        </w:rPr>
        <w:t>实验目的</w:t>
      </w:r>
    </w:p>
    <w:p w14:paraId="4BAC9452">
      <w:pPr>
        <w:pStyle w:val="9"/>
        <w:spacing w:before="274" w:line="187" w:lineRule="auto"/>
        <w:ind w:left="6"/>
      </w:pPr>
      <w:r>
        <w:rPr>
          <w:color w:val="32373F"/>
          <w:spacing w:val="5"/>
        </w:rPr>
        <w:t>热真空实验旨在模拟空间探测器在轨运行期间</w:t>
      </w:r>
      <w:r>
        <w:rPr>
          <w:color w:val="32373F"/>
          <w:spacing w:val="4"/>
        </w:rPr>
        <w:t xml:space="preserve">所经历的真空与温度耦合环境，对 </w:t>
      </w:r>
      <w:r>
        <w:rPr>
          <w:rFonts w:ascii="Arial" w:hAnsi="Arial" w:eastAsia="Arial" w:cs="Arial"/>
          <w:color w:val="32373F"/>
        </w:rPr>
        <w:t>VLAST</w:t>
      </w:r>
      <w:r>
        <w:rPr>
          <w:rFonts w:ascii="Arial" w:hAnsi="Arial" w:eastAsia="Arial" w:cs="Arial"/>
          <w:color w:val="32373F"/>
          <w:spacing w:val="4"/>
        </w:rPr>
        <w:t xml:space="preserve">-P </w:t>
      </w:r>
      <w:r>
        <w:rPr>
          <w:color w:val="32373F"/>
          <w:spacing w:val="4"/>
        </w:rPr>
        <w:t>电磁量能器</w:t>
      </w:r>
    </w:p>
    <w:p w14:paraId="2BB24684">
      <w:pPr>
        <w:pStyle w:val="9"/>
        <w:spacing w:before="26" w:line="242" w:lineRule="auto"/>
        <w:ind w:left="2" w:right="41" w:firstLine="34"/>
      </w:pPr>
      <w:r>
        <w:rPr>
          <w:color w:val="32373F"/>
          <w:spacing w:val="6"/>
        </w:rPr>
        <w:t>（</w:t>
      </w:r>
      <w:r>
        <w:rPr>
          <w:rFonts w:ascii="Arial" w:hAnsi="Arial" w:eastAsia="Arial" w:cs="Arial"/>
          <w:color w:val="32373F"/>
        </w:rPr>
        <w:t>Electromagnetic</w:t>
      </w:r>
      <w:r>
        <w:rPr>
          <w:rFonts w:ascii="Arial" w:hAnsi="Arial" w:eastAsia="Arial" w:cs="Arial"/>
          <w:color w:val="32373F"/>
          <w:spacing w:val="6"/>
        </w:rPr>
        <w:t xml:space="preserve"> </w:t>
      </w:r>
      <w:r>
        <w:rPr>
          <w:rFonts w:ascii="Arial" w:hAnsi="Arial" w:eastAsia="Arial" w:cs="Arial"/>
          <w:color w:val="32373F"/>
        </w:rPr>
        <w:t>Calorimeter</w:t>
      </w:r>
      <w:r>
        <w:rPr>
          <w:color w:val="32373F"/>
          <w:spacing w:val="6"/>
        </w:rPr>
        <w:t xml:space="preserve">，简称 </w:t>
      </w:r>
      <w:r>
        <w:rPr>
          <w:rFonts w:ascii="Arial" w:hAnsi="Arial" w:eastAsia="Arial" w:cs="Arial"/>
          <w:color w:val="32373F"/>
        </w:rPr>
        <w:t>ECAL</w:t>
      </w:r>
      <w:r>
        <w:rPr>
          <w:rFonts w:ascii="Arial" w:hAnsi="Arial" w:eastAsia="Arial" w:cs="Arial"/>
          <w:color w:val="32373F"/>
          <w:spacing w:val="6"/>
        </w:rPr>
        <w:t>/</w:t>
      </w:r>
      <w:r>
        <w:rPr>
          <w:rFonts w:ascii="Arial" w:hAnsi="Arial" w:eastAsia="Arial" w:cs="Arial"/>
          <w:color w:val="32373F"/>
        </w:rPr>
        <w:t>Calo</w:t>
      </w:r>
      <w:r>
        <w:rPr>
          <w:color w:val="32373F"/>
          <w:spacing w:val="6"/>
        </w:rPr>
        <w:t>）在热真空条件下的工作稳定性、环境适应能</w:t>
      </w:r>
      <w:r>
        <w:rPr>
          <w:color w:val="32373F"/>
          <w:spacing w:val="5"/>
        </w:rPr>
        <w:t>力及性能</w:t>
      </w:r>
      <w:r>
        <w:rPr>
          <w:color w:val="32373F"/>
          <w:spacing w:val="1"/>
        </w:rPr>
        <w:t>保持能力进行系统性评估。</w:t>
      </w:r>
    </w:p>
    <w:p w14:paraId="21C84763">
      <w:pPr>
        <w:pStyle w:val="9"/>
        <w:spacing w:before="299" w:line="236" w:lineRule="auto"/>
        <w:ind w:left="2"/>
        <w:jc w:val="both"/>
      </w:pPr>
      <w:r>
        <w:rPr>
          <w:color w:val="32373F"/>
          <w:spacing w:val="5"/>
        </w:rPr>
        <w:t>与常压热循环实验相比，热真空实验在引入周期性温度变化的同时叠加真空环境条件，能够更</w:t>
      </w:r>
      <w:r>
        <w:rPr>
          <w:color w:val="32373F"/>
          <w:spacing w:val="4"/>
        </w:rPr>
        <w:t>真实地还原</w:t>
      </w:r>
      <w:r>
        <w:rPr>
          <w:color w:val="32373F"/>
          <w:spacing w:val="5"/>
        </w:rPr>
        <w:t>空间在轨热力学环境。真空条件的引入将显著改变载荷的热传导路径与散热状态，对电子学工作</w:t>
      </w:r>
      <w:r>
        <w:rPr>
          <w:color w:val="32373F"/>
          <w:spacing w:val="4"/>
        </w:rPr>
        <w:t>点、器件</w:t>
      </w:r>
      <w:r>
        <w:rPr>
          <w:color w:val="32373F"/>
          <w:spacing w:val="2"/>
        </w:rPr>
        <w:t>功耗及温度分布均会产生不同于常压条件的影响。</w:t>
      </w:r>
    </w:p>
    <w:p w14:paraId="03A9827D">
      <w:pPr>
        <w:pStyle w:val="9"/>
        <w:spacing w:before="266" w:line="187" w:lineRule="auto"/>
        <w:ind w:left="3"/>
      </w:pPr>
      <w:r>
        <w:rPr>
          <w:color w:val="32373F"/>
          <w:spacing w:val="4"/>
        </w:rPr>
        <w:t xml:space="preserve">本次实验重点考察 </w:t>
      </w:r>
      <w:r>
        <w:rPr>
          <w:rFonts w:ascii="Arial" w:hAnsi="Arial" w:eastAsia="Arial" w:cs="Arial"/>
          <w:color w:val="32373F"/>
        </w:rPr>
        <w:t>ECAL</w:t>
      </w:r>
      <w:r>
        <w:rPr>
          <w:rFonts w:ascii="Arial" w:hAnsi="Arial" w:eastAsia="Arial" w:cs="Arial"/>
          <w:color w:val="32373F"/>
          <w:spacing w:val="4"/>
        </w:rPr>
        <w:t>/</w:t>
      </w:r>
      <w:r>
        <w:rPr>
          <w:rFonts w:ascii="Arial" w:hAnsi="Arial" w:eastAsia="Arial" w:cs="Arial"/>
          <w:color w:val="32373F"/>
        </w:rPr>
        <w:t>Calo</w:t>
      </w:r>
      <w:r>
        <w:rPr>
          <w:rFonts w:ascii="Arial" w:hAnsi="Arial" w:eastAsia="Arial" w:cs="Arial"/>
          <w:color w:val="32373F"/>
          <w:spacing w:val="4"/>
        </w:rPr>
        <w:t xml:space="preserve"> </w:t>
      </w:r>
      <w:r>
        <w:rPr>
          <w:color w:val="32373F"/>
          <w:spacing w:val="4"/>
        </w:rPr>
        <w:t>在热真空试验全程中的工作状态演化，监测参数涵盖两</w:t>
      </w:r>
      <w:r>
        <w:rPr>
          <w:color w:val="32373F"/>
          <w:spacing w:val="3"/>
        </w:rPr>
        <w:t>大类：</w:t>
      </w:r>
    </w:p>
    <w:p w14:paraId="41BD3E96">
      <w:pPr>
        <w:spacing w:line="270" w:lineRule="auto"/>
        <w:rPr>
          <w:rFonts w:ascii="Arial"/>
          <w:sz w:val="21"/>
        </w:rPr>
      </w:pPr>
    </w:p>
    <w:p w14:paraId="398DF7BC">
      <w:pPr>
        <w:pStyle w:val="9"/>
        <w:spacing w:before="95" w:line="230" w:lineRule="auto"/>
        <w:ind w:left="36" w:right="678" w:hanging="33"/>
      </w:pPr>
      <w:r>
        <w:rPr>
          <w:b/>
          <w:bCs/>
          <w:color w:val="32373F"/>
          <w:spacing w:val="5"/>
        </w:rPr>
        <w:t>科学数据类参数</w:t>
      </w:r>
      <w:r>
        <w:rPr>
          <w:color w:val="32373F"/>
          <w:spacing w:val="5"/>
        </w:rPr>
        <w:t>，包括基线刻度、电子学增益刻度、宇宙线高低增益比刻度及宇</w:t>
      </w:r>
      <w:r>
        <w:rPr>
          <w:color w:val="32373F"/>
          <w:spacing w:val="4"/>
        </w:rPr>
        <w:t>宙线最小电离粒子</w:t>
      </w:r>
      <w:r>
        <w:rPr>
          <w:color w:val="32373F"/>
          <w:spacing w:val="-6"/>
        </w:rPr>
        <w:t>（</w:t>
      </w:r>
      <w:r>
        <w:rPr>
          <w:rFonts w:ascii="Arial" w:hAnsi="Arial" w:eastAsia="Arial" w:cs="Arial"/>
          <w:color w:val="32373F"/>
          <w:spacing w:val="-6"/>
        </w:rPr>
        <w:t>MIP</w:t>
      </w:r>
      <w:r>
        <w:rPr>
          <w:color w:val="32373F"/>
          <w:spacing w:val="-6"/>
        </w:rPr>
        <w:t>）响应；</w:t>
      </w:r>
    </w:p>
    <w:p w14:paraId="02353737">
      <w:pPr>
        <w:pStyle w:val="9"/>
        <w:spacing w:before="310" w:line="237" w:lineRule="auto"/>
        <w:ind w:left="3" w:right="112" w:hanging="1"/>
      </w:pPr>
      <w:r>
        <w:rPr>
          <w:b/>
          <w:bCs/>
          <w:color w:val="32373F"/>
          <w:spacing w:val="4"/>
        </w:rPr>
        <w:t>非科学数据类参数</w:t>
      </w:r>
      <w:r>
        <w:rPr>
          <w:color w:val="32373F"/>
          <w:spacing w:val="4"/>
        </w:rPr>
        <w:t>，包括电子学前端板（</w:t>
      </w:r>
      <w:r>
        <w:rPr>
          <w:rFonts w:ascii="Arial" w:hAnsi="Arial" w:eastAsia="Arial" w:cs="Arial"/>
          <w:color w:val="32373F"/>
        </w:rPr>
        <w:t>Front</w:t>
      </w:r>
      <w:r>
        <w:rPr>
          <w:rFonts w:ascii="Arial" w:hAnsi="Arial" w:eastAsia="Arial" w:cs="Arial"/>
          <w:color w:val="32373F"/>
          <w:spacing w:val="4"/>
        </w:rPr>
        <w:t>-</w:t>
      </w:r>
      <w:r>
        <w:rPr>
          <w:rFonts w:ascii="Arial" w:hAnsi="Arial" w:eastAsia="Arial" w:cs="Arial"/>
          <w:color w:val="32373F"/>
        </w:rPr>
        <w:t>End</w:t>
      </w:r>
      <w:r>
        <w:rPr>
          <w:rFonts w:ascii="Arial" w:hAnsi="Arial" w:eastAsia="Arial" w:cs="Arial"/>
          <w:color w:val="32373F"/>
          <w:spacing w:val="19"/>
          <w:w w:val="101"/>
        </w:rPr>
        <w:t xml:space="preserve"> </w:t>
      </w:r>
      <w:r>
        <w:rPr>
          <w:rFonts w:ascii="Arial" w:hAnsi="Arial" w:eastAsia="Arial" w:cs="Arial"/>
          <w:color w:val="32373F"/>
        </w:rPr>
        <w:t>Electronics</w:t>
      </w:r>
      <w:r>
        <w:rPr>
          <w:rFonts w:ascii="Arial" w:hAnsi="Arial" w:eastAsia="Arial" w:cs="Arial"/>
          <w:color w:val="32373F"/>
          <w:spacing w:val="-26"/>
        </w:rPr>
        <w:t xml:space="preserve"> </w:t>
      </w:r>
      <w:r>
        <w:rPr>
          <w:color w:val="32373F"/>
          <w:spacing w:val="4"/>
        </w:rPr>
        <w:t>，</w:t>
      </w:r>
      <w:r>
        <w:rPr>
          <w:color w:val="32373F"/>
          <w:spacing w:val="-43"/>
        </w:rPr>
        <w:t xml:space="preserve"> </w:t>
      </w:r>
      <w:r>
        <w:rPr>
          <w:rFonts w:ascii="Arial" w:hAnsi="Arial" w:eastAsia="Arial" w:cs="Arial"/>
          <w:color w:val="32373F"/>
        </w:rPr>
        <w:t>FEE</w:t>
      </w:r>
      <w:r>
        <w:rPr>
          <w:color w:val="32373F"/>
          <w:spacing w:val="4"/>
        </w:rPr>
        <w:t>）电流传感器输出、</w:t>
      </w:r>
      <w:r>
        <w:rPr>
          <w:color w:val="32373F"/>
          <w:spacing w:val="3"/>
        </w:rPr>
        <w:t>温度传感器测量值、雪崩光电二极管（</w:t>
      </w:r>
      <w:r>
        <w:rPr>
          <w:rFonts w:ascii="Arial" w:hAnsi="Arial" w:eastAsia="Arial" w:cs="Arial"/>
          <w:color w:val="32373F"/>
        </w:rPr>
        <w:t>APD</w:t>
      </w:r>
      <w:r>
        <w:rPr>
          <w:color w:val="32373F"/>
          <w:spacing w:val="3"/>
        </w:rPr>
        <w:t>）高压状态及数据采集运行状态。</w:t>
      </w:r>
    </w:p>
    <w:p w14:paraId="13F86784">
      <w:pPr>
        <w:pStyle w:val="9"/>
        <w:spacing w:before="275" w:line="229" w:lineRule="auto"/>
        <w:ind w:left="1"/>
        <w:rPr>
          <w:rFonts w:hint="eastAsia" w:ascii="微软雅黑" w:hAnsi="微软雅黑" w:eastAsia="微软雅黑" w:cs="微软雅黑"/>
          <w:sz w:val="22"/>
          <w:szCs w:val="22"/>
        </w:rPr>
      </w:pPr>
      <w:r>
        <w:rPr>
          <w:color w:val="32373F"/>
          <w:spacing w:val="5"/>
          <w:sz w:val="22"/>
          <w:szCs w:val="22"/>
        </w:rPr>
        <w:t>通过对高温平台、低温平台、升降温过渡阶段及试验前后室温状态下各项测试结果的横向对比与</w:t>
      </w:r>
      <w:r>
        <w:rPr>
          <w:color w:val="32373F"/>
          <w:spacing w:val="4"/>
          <w:sz w:val="22"/>
          <w:szCs w:val="22"/>
        </w:rPr>
        <w:t>纵向趋势</w:t>
      </w:r>
      <w:r>
        <w:rPr>
          <w:color w:val="32373F"/>
          <w:spacing w:val="5"/>
          <w:sz w:val="22"/>
          <w:szCs w:val="22"/>
        </w:rPr>
        <w:t>分析，综合判断系统是否存在与真空环境相关的异常响应、与温度变化相关的参数漂移、</w:t>
      </w:r>
      <w:r>
        <w:rPr>
          <w:rFonts w:hint="eastAsia" w:ascii="微软雅黑" w:hAnsi="微软雅黑" w:eastAsia="微软雅黑" w:cs="微软雅黑"/>
          <w:color w:val="32373F"/>
          <w:spacing w:val="5"/>
          <w:sz w:val="22"/>
          <w:szCs w:val="22"/>
        </w:rPr>
        <w:t>间歇性</w:t>
      </w:r>
      <w:r>
        <w:rPr>
          <w:rFonts w:hint="eastAsia" w:ascii="微软雅黑" w:hAnsi="微软雅黑" w:eastAsia="微软雅黑" w:cs="微软雅黑"/>
          <w:color w:val="32373F"/>
          <w:spacing w:val="4"/>
          <w:sz w:val="22"/>
          <w:szCs w:val="22"/>
        </w:rPr>
        <w:t>工作故</w:t>
      </w:r>
    </w:p>
    <w:p w14:paraId="4989E7FD">
      <w:pPr>
        <w:pStyle w:val="2"/>
        <w:spacing w:before="88" w:line="183" w:lineRule="auto"/>
        <w:ind w:left="21"/>
        <w:outlineLvl w:val="0"/>
        <w:rPr>
          <w:rFonts w:hint="eastAsia" w:ascii="微软雅黑" w:hAnsi="微软雅黑" w:eastAsia="微软雅黑" w:cs="微软雅黑"/>
          <w:color w:val="32373F"/>
          <w:spacing w:val="4"/>
          <w:sz w:val="22"/>
          <w:szCs w:val="22"/>
        </w:rPr>
      </w:pPr>
      <w:r>
        <w:rPr>
          <w:rFonts w:hint="eastAsia" w:ascii="微软雅黑" w:hAnsi="微软雅黑" w:eastAsia="微软雅黑" w:cs="微软雅黑"/>
          <w:color w:val="32373F"/>
          <w:spacing w:val="5"/>
          <w:sz w:val="22"/>
          <w:szCs w:val="22"/>
        </w:rPr>
        <w:t>障，或经历热真空环境后不可恢复的性能退化现象，为载荷飞行件的正样</w:t>
      </w:r>
      <w:r>
        <w:rPr>
          <w:rFonts w:hint="eastAsia" w:ascii="微软雅黑" w:hAnsi="微软雅黑" w:eastAsia="微软雅黑" w:cs="微软雅黑"/>
          <w:color w:val="32373F"/>
          <w:spacing w:val="4"/>
          <w:sz w:val="22"/>
          <w:szCs w:val="22"/>
        </w:rPr>
        <w:t>验收及后续在轨运行提供可靠</w:t>
      </w:r>
    </w:p>
    <w:p w14:paraId="4C158464">
      <w:pPr>
        <w:pStyle w:val="2"/>
        <w:spacing w:before="88" w:line="183" w:lineRule="auto"/>
        <w:ind w:left="21"/>
        <w:outlineLvl w:val="0"/>
      </w:pPr>
      <w:r>
        <w:rPr>
          <w:rFonts w:hint="eastAsia" w:ascii="微软雅黑" w:hAnsi="微软雅黑" w:eastAsia="微软雅黑" w:cs="微软雅黑"/>
          <w:color w:val="32373F"/>
          <w:spacing w:val="4"/>
          <w:sz w:val="22"/>
          <w:szCs w:val="22"/>
        </w:rPr>
        <w:t>的</w:t>
      </w:r>
      <w:r>
        <w:rPr>
          <w:rFonts w:hint="eastAsia" w:ascii="微软雅黑" w:hAnsi="微软雅黑" w:eastAsia="微软雅黑" w:cs="微软雅黑"/>
          <w:color w:val="32373F"/>
          <w:spacing w:val="-5"/>
          <w:sz w:val="22"/>
          <w:szCs w:val="22"/>
        </w:rPr>
        <w:t>工程依据。</w:t>
      </w:r>
      <w:r>
        <w:drawing>
          <wp:inline distT="0" distB="0" distL="0" distR="0">
            <wp:extent cx="6572250" cy="19050"/>
            <wp:effectExtent l="0" t="0" r="11430" b="3810"/>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9"/>
                    <a:stretch>
                      <a:fillRect/>
                    </a:stretch>
                  </pic:blipFill>
                  <pic:spPr>
                    <a:xfrm>
                      <a:off x="0" y="0"/>
                      <a:ext cx="6572250" cy="19050"/>
                    </a:xfrm>
                    <a:prstGeom prst="rect">
                      <a:avLst/>
                    </a:prstGeom>
                  </pic:spPr>
                </pic:pic>
              </a:graphicData>
            </a:graphic>
          </wp:inline>
        </w:drawing>
      </w:r>
    </w:p>
    <w:p w14:paraId="5CE78129">
      <w:pPr>
        <w:pStyle w:val="2"/>
        <w:spacing w:before="246" w:line="184" w:lineRule="auto"/>
        <w:ind w:left="7"/>
        <w:outlineLvl w:val="1"/>
        <w:rPr>
          <w:rFonts w:ascii="微软雅黑" w:hAnsi="微软雅黑" w:eastAsia="微软雅黑" w:cs="微软雅黑"/>
          <w:sz w:val="29"/>
          <w:szCs w:val="29"/>
        </w:rPr>
      </w:pPr>
      <w:r>
        <w:rPr>
          <w:b/>
          <w:bCs/>
          <w:color w:val="32373F"/>
          <w:sz w:val="29"/>
          <w:szCs w:val="29"/>
        </w:rPr>
        <w:t xml:space="preserve">2. </w:t>
      </w:r>
      <w:r>
        <w:rPr>
          <w:rFonts w:ascii="微软雅黑" w:hAnsi="微软雅黑" w:eastAsia="微软雅黑" w:cs="微软雅黑"/>
          <w:b/>
          <w:bCs/>
          <w:color w:val="32373F"/>
          <w:sz w:val="29"/>
          <w:szCs w:val="29"/>
        </w:rPr>
        <w:t>实验内容</w:t>
      </w:r>
    </w:p>
    <w:p w14:paraId="5E897E89">
      <w:pPr>
        <w:pStyle w:val="2"/>
        <w:spacing w:before="274" w:line="187" w:lineRule="auto"/>
        <w:ind w:left="3"/>
        <w:rPr>
          <w:rFonts w:ascii="微软雅黑" w:hAnsi="微软雅黑" w:eastAsia="微软雅黑" w:cs="微软雅黑"/>
        </w:rPr>
      </w:pPr>
      <w:r>
        <w:rPr>
          <w:rFonts w:ascii="微软雅黑" w:hAnsi="微软雅黑" w:eastAsia="微软雅黑" w:cs="微软雅黑"/>
          <w:color w:val="32373F"/>
          <w:spacing w:val="4"/>
        </w:rPr>
        <w:t xml:space="preserve">本次热真空实验依据 </w:t>
      </w:r>
      <w:r>
        <w:rPr>
          <w:color w:val="32373F"/>
        </w:rPr>
        <w:t>ECAL</w:t>
      </w:r>
      <w:r>
        <w:rPr>
          <w:color w:val="32373F"/>
          <w:spacing w:val="4"/>
        </w:rPr>
        <w:t xml:space="preserve"> </w:t>
      </w:r>
      <w:r>
        <w:rPr>
          <w:rFonts w:ascii="微软雅黑" w:hAnsi="微软雅黑" w:eastAsia="微软雅黑" w:cs="微软雅黑"/>
          <w:color w:val="32373F"/>
          <w:spacing w:val="4"/>
        </w:rPr>
        <w:t xml:space="preserve">载荷正样阶段环境试验要求开展，实验对象为 </w:t>
      </w:r>
      <w:r>
        <w:rPr>
          <w:color w:val="32373F"/>
        </w:rPr>
        <w:t>VLAST</w:t>
      </w:r>
      <w:r>
        <w:rPr>
          <w:color w:val="32373F"/>
          <w:spacing w:val="4"/>
        </w:rPr>
        <w:t xml:space="preserve">-P </w:t>
      </w:r>
      <w:r>
        <w:rPr>
          <w:rFonts w:ascii="微软雅黑" w:hAnsi="微软雅黑" w:eastAsia="微软雅黑" w:cs="微软雅黑"/>
          <w:color w:val="32373F"/>
          <w:spacing w:val="4"/>
        </w:rPr>
        <w:t>电磁量能器</w:t>
      </w:r>
    </w:p>
    <w:p w14:paraId="1B44CED2">
      <w:pPr>
        <w:pStyle w:val="2"/>
        <w:spacing w:before="65" w:line="239" w:lineRule="auto"/>
        <w:ind w:left="2" w:right="207" w:firstLine="15"/>
        <w:rPr>
          <w:rFonts w:ascii="微软雅黑" w:hAnsi="微软雅黑" w:eastAsia="微软雅黑" w:cs="微软雅黑"/>
        </w:rPr>
      </w:pPr>
      <w:r>
        <w:rPr>
          <w:color w:val="32373F"/>
        </w:rPr>
        <w:t>ECAL</w:t>
      </w:r>
      <w:r>
        <w:rPr>
          <w:color w:val="32373F"/>
          <w:spacing w:val="3"/>
        </w:rPr>
        <w:t>/</w:t>
      </w:r>
      <w:r>
        <w:rPr>
          <w:color w:val="32373F"/>
        </w:rPr>
        <w:t>Calo</w:t>
      </w:r>
      <w:r>
        <w:rPr>
          <w:color w:val="32373F"/>
          <w:spacing w:val="3"/>
        </w:rPr>
        <w:t xml:space="preserve"> </w:t>
      </w:r>
      <w:r>
        <w:rPr>
          <w:rFonts w:ascii="微软雅黑" w:hAnsi="微软雅黑" w:eastAsia="微软雅黑" w:cs="微软雅黑"/>
          <w:color w:val="32373F"/>
          <w:spacing w:val="3"/>
        </w:rPr>
        <w:t xml:space="preserve">正样飞行件。实验期间， </w:t>
      </w:r>
      <w:r>
        <w:rPr>
          <w:color w:val="32373F"/>
        </w:rPr>
        <w:t>ECAL</w:t>
      </w:r>
      <w:r>
        <w:rPr>
          <w:color w:val="32373F"/>
          <w:spacing w:val="3"/>
        </w:rPr>
        <w:t xml:space="preserve"> </w:t>
      </w:r>
      <w:r>
        <w:rPr>
          <w:rFonts w:ascii="微软雅黑" w:hAnsi="微软雅黑" w:eastAsia="微软雅黑" w:cs="微软雅黑"/>
          <w:color w:val="32373F"/>
          <w:spacing w:val="3"/>
        </w:rPr>
        <w:t>载荷安装于热真空试验罐内，在规定的真空度和温度边界条</w:t>
      </w:r>
      <w:r>
        <w:rPr>
          <w:rFonts w:ascii="微软雅黑" w:hAnsi="微软雅黑" w:eastAsia="微软雅黑" w:cs="微软雅黑"/>
          <w:color w:val="32373F"/>
          <w:spacing w:val="2"/>
        </w:rPr>
        <w:t>件下按照预设试验剖面完成全流程热真空考核。</w:t>
      </w:r>
    </w:p>
    <w:p w14:paraId="7F5D328E">
      <w:pPr>
        <w:spacing w:before="269" w:line="187" w:lineRule="auto"/>
        <w:ind w:left="4"/>
        <w:rPr>
          <w:rFonts w:ascii="微软雅黑" w:hAnsi="微软雅黑" w:eastAsia="微软雅黑" w:cs="微软雅黑"/>
          <w:sz w:val="22"/>
          <w:szCs w:val="22"/>
        </w:rPr>
      </w:pPr>
      <w:r>
        <w:rPr>
          <w:rFonts w:ascii="微软雅黑" w:hAnsi="微软雅黑" w:eastAsia="微软雅黑" w:cs="微软雅黑"/>
          <w:color w:val="32373F"/>
          <w:spacing w:val="1"/>
          <w:sz w:val="22"/>
          <w:szCs w:val="22"/>
        </w:rPr>
        <w:t>实验按顺序依次经历以下阶段：</w:t>
      </w:r>
    </w:p>
    <w:p w14:paraId="7EE3F087">
      <w:pPr>
        <w:pStyle w:val="2"/>
        <w:spacing w:line="269" w:lineRule="auto"/>
        <w:rPr>
          <w:sz w:val="21"/>
        </w:rPr>
      </w:pPr>
    </w:p>
    <w:p w14:paraId="03BF8ACA">
      <w:pPr>
        <w:pStyle w:val="2"/>
        <w:spacing w:before="95" w:line="187" w:lineRule="auto"/>
        <w:ind w:left="156"/>
        <w:outlineLvl w:val="1"/>
        <w:rPr>
          <w:rFonts w:ascii="微软雅黑" w:hAnsi="微软雅黑" w:eastAsia="微软雅黑" w:cs="微软雅黑"/>
        </w:rPr>
      </w:pPr>
      <w:r>
        <w:rPr>
          <w:color w:val="32373F"/>
          <w:spacing w:val="4"/>
        </w:rPr>
        <w:t xml:space="preserve">1. </w:t>
      </w:r>
      <w:r>
        <w:rPr>
          <w:rFonts w:ascii="微软雅黑" w:hAnsi="微软雅黑" w:eastAsia="微软雅黑" w:cs="微软雅黑"/>
          <w:b/>
          <w:bCs/>
          <w:color w:val="32373F"/>
          <w:spacing w:val="4"/>
        </w:rPr>
        <w:t>试验前常温常压状态检查</w:t>
      </w:r>
      <w:r>
        <w:rPr>
          <w:rFonts w:ascii="微软雅黑" w:hAnsi="微软雅黑" w:eastAsia="微软雅黑" w:cs="微软雅黑"/>
          <w:color w:val="32373F"/>
          <w:spacing w:val="4"/>
        </w:rPr>
        <w:t>：对载荷各项功能和性能参数进行基线测试，记录初始状态，作为后续对比</w:t>
      </w:r>
    </w:p>
    <w:p w14:paraId="07BAE0C9">
      <w:pPr>
        <w:spacing w:before="67" w:line="186" w:lineRule="auto"/>
        <w:ind w:left="385"/>
        <w:rPr>
          <w:rFonts w:ascii="微软雅黑" w:hAnsi="微软雅黑" w:eastAsia="微软雅黑" w:cs="微软雅黑"/>
          <w:sz w:val="22"/>
          <w:szCs w:val="22"/>
        </w:rPr>
      </w:pPr>
      <w:r>
        <w:rPr>
          <w:rFonts w:ascii="微软雅黑" w:hAnsi="微软雅黑" w:eastAsia="微软雅黑" w:cs="微软雅黑"/>
          <w:color w:val="32373F"/>
          <w:spacing w:val="-8"/>
          <w:sz w:val="22"/>
          <w:szCs w:val="22"/>
        </w:rPr>
        <w:t>基准；</w:t>
      </w:r>
    </w:p>
    <w:p w14:paraId="1BB099C4">
      <w:pPr>
        <w:pStyle w:val="2"/>
        <w:spacing w:before="60"/>
        <w:ind w:left="141"/>
        <w:rPr>
          <w:color w:val="32373F"/>
          <w:spacing w:val="3"/>
        </w:rPr>
      </w:pPr>
      <w:r>
        <w:rPr>
          <w:color w:val="32373F"/>
          <w:spacing w:val="4"/>
        </w:rPr>
        <w:t xml:space="preserve">2. </w:t>
      </w:r>
      <w:r>
        <w:rPr>
          <w:rFonts w:ascii="微软雅黑" w:hAnsi="微软雅黑" w:eastAsia="微软雅黑" w:cs="微软雅黑"/>
          <w:b/>
          <w:bCs/>
          <w:color w:val="32373F"/>
          <w:spacing w:val="4"/>
        </w:rPr>
        <w:t>试验件安装与线缆连接</w:t>
      </w:r>
      <w:r>
        <w:rPr>
          <w:rFonts w:ascii="微软雅黑" w:hAnsi="微软雅黑" w:eastAsia="微软雅黑" w:cs="微软雅黑"/>
          <w:color w:val="32373F"/>
          <w:spacing w:val="4"/>
        </w:rPr>
        <w:t>：将载荷固定安装于热真空罐内，</w:t>
      </w:r>
      <w:r>
        <w:rPr>
          <w:rFonts w:ascii="微软雅黑" w:hAnsi="微软雅黑" w:eastAsia="微软雅黑" w:cs="微软雅黑"/>
          <w:color w:val="32373F"/>
          <w:spacing w:val="3"/>
        </w:rPr>
        <w:t>完成各路电气接口连接及密封性检查；</w:t>
      </w:r>
    </w:p>
    <w:p w14:paraId="47F9EBE9">
      <w:pPr>
        <w:pStyle w:val="2"/>
        <w:spacing w:before="60"/>
        <w:ind w:left="141"/>
        <w:rPr>
          <w:rFonts w:ascii="微软雅黑" w:hAnsi="微软雅黑" w:eastAsia="微软雅黑" w:cs="微软雅黑"/>
        </w:rPr>
      </w:pPr>
      <w:r>
        <w:rPr>
          <w:color w:val="32373F"/>
          <w:spacing w:val="3"/>
        </w:rPr>
        <w:t xml:space="preserve">3. </w:t>
      </w:r>
      <w:r>
        <w:rPr>
          <w:rFonts w:ascii="微软雅黑" w:hAnsi="微软雅黑" w:eastAsia="微软雅黑" w:cs="微软雅黑"/>
          <w:b/>
          <w:bCs/>
          <w:color w:val="32373F"/>
          <w:spacing w:val="3"/>
        </w:rPr>
        <w:t>真空罐抽真空</w:t>
      </w:r>
      <w:r>
        <w:rPr>
          <w:rFonts w:ascii="微软雅黑" w:hAnsi="微软雅黑" w:eastAsia="微软雅黑" w:cs="微软雅黑"/>
          <w:color w:val="32373F"/>
          <w:spacing w:val="3"/>
        </w:rPr>
        <w:t>：按规定速率对试验罐抽气，待真空度满足试验要求后转入后续阶段；</w:t>
      </w:r>
    </w:p>
    <w:p w14:paraId="6E9327B0">
      <w:pPr>
        <w:pStyle w:val="2"/>
        <w:spacing w:before="113"/>
        <w:ind w:left="385" w:right="72" w:hanging="250"/>
        <w:rPr>
          <w:rFonts w:ascii="微软雅黑" w:hAnsi="微软雅黑" w:eastAsia="微软雅黑" w:cs="微软雅黑"/>
        </w:rPr>
      </w:pPr>
      <w:r>
        <w:rPr>
          <w:color w:val="32373F"/>
          <w:spacing w:val="5"/>
        </w:rPr>
        <w:t xml:space="preserve">4. </w:t>
      </w:r>
      <w:r>
        <w:rPr>
          <w:rFonts w:ascii="微软雅黑" w:hAnsi="微软雅黑" w:eastAsia="微软雅黑" w:cs="微软雅黑"/>
          <w:b/>
          <w:bCs/>
          <w:color w:val="32373F"/>
          <w:spacing w:val="5"/>
        </w:rPr>
        <w:t>真空环境下初始状态检查</w:t>
      </w:r>
      <w:r>
        <w:rPr>
          <w:rFonts w:ascii="微软雅黑" w:hAnsi="微软雅黑" w:eastAsia="微软雅黑" w:cs="微软雅黑"/>
          <w:color w:val="32373F"/>
          <w:spacing w:val="5"/>
        </w:rPr>
        <w:t>：在真空条件下对载荷进行上电自</w:t>
      </w:r>
      <w:r>
        <w:rPr>
          <w:rFonts w:ascii="微软雅黑" w:hAnsi="微软雅黑" w:eastAsia="微软雅黑" w:cs="微软雅黑"/>
          <w:color w:val="32373F"/>
          <w:spacing w:val="4"/>
        </w:rPr>
        <w:t>检，确认系统在低压环境下可正常启动并</w:t>
      </w:r>
      <w:r>
        <w:rPr>
          <w:rFonts w:ascii="微软雅黑" w:hAnsi="微软雅黑" w:eastAsia="微软雅黑" w:cs="微软雅黑"/>
          <w:color w:val="32373F"/>
          <w:spacing w:val="-2"/>
        </w:rPr>
        <w:t>进入工作状态；</w:t>
      </w:r>
    </w:p>
    <w:p w14:paraId="247FF2AD">
      <w:pPr>
        <w:pStyle w:val="2"/>
        <w:spacing w:before="13" w:line="239" w:lineRule="auto"/>
        <w:ind w:left="385" w:right="114" w:hanging="244"/>
        <w:rPr>
          <w:rFonts w:ascii="微软雅黑" w:hAnsi="微软雅黑" w:eastAsia="微软雅黑" w:cs="微软雅黑"/>
        </w:rPr>
      </w:pPr>
      <w:r>
        <w:rPr>
          <w:color w:val="32373F"/>
          <w:spacing w:val="4"/>
        </w:rPr>
        <w:t xml:space="preserve">5. </w:t>
      </w:r>
      <w:r>
        <w:rPr>
          <w:rFonts w:ascii="微软雅黑" w:hAnsi="微软雅黑" w:eastAsia="微软雅黑" w:cs="微软雅黑"/>
          <w:b/>
          <w:bCs/>
          <w:color w:val="32373F"/>
          <w:spacing w:val="4"/>
        </w:rPr>
        <w:t>高温平台工作状态监测</w:t>
      </w:r>
      <w:r>
        <w:rPr>
          <w:rFonts w:ascii="微软雅黑" w:hAnsi="微软雅黑" w:eastAsia="微软雅黑" w:cs="微软雅黑"/>
          <w:color w:val="32373F"/>
          <w:spacing w:val="4"/>
        </w:rPr>
        <w:t>：在规定高温平台下保持载荷持</w:t>
      </w:r>
      <w:r>
        <w:rPr>
          <w:rFonts w:ascii="微软雅黑" w:hAnsi="微软雅黑" w:eastAsia="微软雅黑" w:cs="微软雅黑"/>
          <w:color w:val="32373F"/>
          <w:spacing w:val="3"/>
        </w:rPr>
        <w:t>续通电工作，对各项关键参数进行全程监测，</w:t>
      </w:r>
      <w:r>
        <w:rPr>
          <w:rFonts w:ascii="微软雅黑" w:hAnsi="微软雅黑" w:eastAsia="微软雅黑" w:cs="微软雅黑"/>
          <w:color w:val="32373F"/>
          <w:spacing w:val="2"/>
        </w:rPr>
        <w:t>评估高温稳定环境下的性能保持能力；</w:t>
      </w:r>
    </w:p>
    <w:p w14:paraId="27275D4A">
      <w:pPr>
        <w:pStyle w:val="2"/>
        <w:spacing w:before="59" w:line="239" w:lineRule="auto"/>
        <w:ind w:left="384" w:right="70" w:hanging="244"/>
        <w:rPr>
          <w:rFonts w:ascii="微软雅黑" w:hAnsi="微软雅黑" w:eastAsia="微软雅黑" w:cs="微软雅黑"/>
        </w:rPr>
      </w:pPr>
      <w:r>
        <w:rPr>
          <w:color w:val="32373F"/>
          <w:spacing w:val="5"/>
        </w:rPr>
        <w:t xml:space="preserve">6. </w:t>
      </w:r>
      <w:r>
        <w:rPr>
          <w:rFonts w:ascii="微软雅黑" w:hAnsi="微软雅黑" w:eastAsia="微软雅黑" w:cs="微软雅黑"/>
          <w:b/>
          <w:bCs/>
          <w:color w:val="32373F"/>
          <w:spacing w:val="5"/>
        </w:rPr>
        <w:t>低温平台工作状态监测</w:t>
      </w:r>
      <w:r>
        <w:rPr>
          <w:rFonts w:ascii="微软雅黑" w:hAnsi="微软雅黑" w:eastAsia="微软雅黑" w:cs="微软雅黑"/>
          <w:color w:val="32373F"/>
          <w:spacing w:val="5"/>
        </w:rPr>
        <w:t>：在规定低温平台下保持</w:t>
      </w:r>
      <w:r>
        <w:rPr>
          <w:rFonts w:ascii="微软雅黑" w:hAnsi="微软雅黑" w:eastAsia="微软雅黑" w:cs="微软雅黑"/>
          <w:color w:val="32373F"/>
          <w:spacing w:val="4"/>
        </w:rPr>
        <w:t>载荷持续通电工作，考察低温环境下系统的工作稳定</w:t>
      </w:r>
      <w:r>
        <w:rPr>
          <w:rFonts w:ascii="微软雅黑" w:hAnsi="微软雅黑" w:eastAsia="微软雅黑" w:cs="微软雅黑"/>
          <w:color w:val="32373F"/>
        </w:rPr>
        <w:t>性与参数一致性；</w:t>
      </w:r>
    </w:p>
    <w:p w14:paraId="58870041">
      <w:pPr>
        <w:pStyle w:val="2"/>
        <w:spacing w:before="99" w:line="239" w:lineRule="auto"/>
        <w:ind w:left="384" w:right="70" w:hanging="242"/>
        <w:rPr>
          <w:rFonts w:ascii="微软雅黑" w:hAnsi="微软雅黑" w:eastAsia="微软雅黑" w:cs="微软雅黑"/>
        </w:rPr>
      </w:pPr>
      <w:r>
        <w:rPr>
          <w:color w:val="32373F"/>
          <w:spacing w:val="5"/>
        </w:rPr>
        <w:t xml:space="preserve">7. </w:t>
      </w:r>
      <w:r>
        <w:rPr>
          <w:rFonts w:ascii="微软雅黑" w:hAnsi="微软雅黑" w:eastAsia="微软雅黑" w:cs="微软雅黑"/>
          <w:b/>
          <w:bCs/>
          <w:color w:val="32373F"/>
          <w:spacing w:val="5"/>
        </w:rPr>
        <w:t>温度转换过程中的连续监测</w:t>
      </w:r>
      <w:r>
        <w:rPr>
          <w:rFonts w:ascii="微软雅黑" w:hAnsi="微软雅黑" w:eastAsia="微软雅黑" w:cs="微软雅黑"/>
          <w:color w:val="32373F"/>
          <w:spacing w:val="5"/>
        </w:rPr>
        <w:t>：在升温和降温</w:t>
      </w:r>
      <w:r>
        <w:rPr>
          <w:rFonts w:ascii="微软雅黑" w:hAnsi="微软雅黑" w:eastAsia="微软雅黑" w:cs="微软雅黑"/>
          <w:color w:val="32373F"/>
          <w:spacing w:val="4"/>
        </w:rPr>
        <w:t>过渡阶段对各项参数实施不间断监测，重点关注参数是否</w:t>
      </w:r>
      <w:r>
        <w:rPr>
          <w:rFonts w:ascii="微软雅黑" w:hAnsi="微软雅黑" w:eastAsia="微软雅黑" w:cs="微软雅黑"/>
          <w:color w:val="32373F"/>
          <w:spacing w:val="2"/>
        </w:rPr>
        <w:t>在温度变化过程中出现异常漂移或突变；</w:t>
      </w:r>
    </w:p>
    <w:p w14:paraId="036E9852">
      <w:pPr>
        <w:pStyle w:val="2"/>
        <w:spacing w:before="18" w:line="239" w:lineRule="auto"/>
        <w:ind w:left="385" w:right="70" w:hanging="244"/>
        <w:rPr>
          <w:rFonts w:ascii="微软雅黑" w:hAnsi="微软雅黑" w:eastAsia="微软雅黑" w:cs="微软雅黑"/>
        </w:rPr>
      </w:pPr>
      <w:r>
        <w:rPr>
          <w:color w:val="32373F"/>
          <w:spacing w:val="5"/>
        </w:rPr>
        <w:t xml:space="preserve">8. </w:t>
      </w:r>
      <w:r>
        <w:rPr>
          <w:rFonts w:ascii="微软雅黑" w:hAnsi="微软雅黑" w:eastAsia="微软雅黑" w:cs="微软雅黑"/>
          <w:b/>
          <w:bCs/>
          <w:color w:val="32373F"/>
          <w:spacing w:val="5"/>
        </w:rPr>
        <w:t>试验结束后复压与出罐检查</w:t>
      </w:r>
      <w:r>
        <w:rPr>
          <w:rFonts w:ascii="微软雅黑" w:hAnsi="微软雅黑" w:eastAsia="微软雅黑" w:cs="微软雅黑"/>
          <w:color w:val="32373F"/>
          <w:spacing w:val="5"/>
        </w:rPr>
        <w:t>：按规定速率向试验</w:t>
      </w:r>
      <w:r>
        <w:rPr>
          <w:rFonts w:ascii="微软雅黑" w:hAnsi="微软雅黑" w:eastAsia="微软雅黑" w:cs="微软雅黑"/>
          <w:color w:val="32373F"/>
          <w:spacing w:val="4"/>
        </w:rPr>
        <w:t>罐回充气体，恢复常压后对载荷状态进行检查，确认</w:t>
      </w:r>
      <w:r>
        <w:rPr>
          <w:rFonts w:ascii="微软雅黑" w:hAnsi="微软雅黑" w:eastAsia="微软雅黑" w:cs="微软雅黑"/>
          <w:color w:val="32373F"/>
          <w:spacing w:val="-1"/>
        </w:rPr>
        <w:t>复压过程中无异常；</w:t>
      </w:r>
    </w:p>
    <w:p w14:paraId="6F5B5366">
      <w:pPr>
        <w:pStyle w:val="2"/>
        <w:spacing w:before="56" w:line="239" w:lineRule="auto"/>
        <w:ind w:left="385" w:right="71" w:hanging="244"/>
        <w:rPr>
          <w:rFonts w:ascii="微软雅黑" w:hAnsi="微软雅黑" w:eastAsia="微软雅黑" w:cs="微软雅黑"/>
        </w:rPr>
      </w:pPr>
      <w:r>
        <w:rPr>
          <w:color w:val="32373F"/>
          <w:spacing w:val="5"/>
        </w:rPr>
        <w:t xml:space="preserve">9. </w:t>
      </w:r>
      <w:r>
        <w:rPr>
          <w:rFonts w:ascii="微软雅黑" w:hAnsi="微软雅黑" w:eastAsia="微软雅黑" w:cs="微软雅黑"/>
          <w:b/>
          <w:bCs/>
          <w:color w:val="32373F"/>
          <w:spacing w:val="5"/>
        </w:rPr>
        <w:t>试验后常温常压性能复测</w:t>
      </w:r>
      <w:r>
        <w:rPr>
          <w:rFonts w:ascii="微软雅黑" w:hAnsi="微软雅黑" w:eastAsia="微软雅黑" w:cs="微软雅黑"/>
          <w:color w:val="32373F"/>
          <w:spacing w:val="5"/>
        </w:rPr>
        <w:t>：将载荷取出后在常</w:t>
      </w:r>
      <w:r>
        <w:rPr>
          <w:rFonts w:ascii="微软雅黑" w:hAnsi="微软雅黑" w:eastAsia="微软雅黑" w:cs="微软雅黑"/>
          <w:color w:val="32373F"/>
          <w:spacing w:val="4"/>
        </w:rPr>
        <w:t>温常压环境下重新开展性能测试，与试验前基线结果进</w:t>
      </w:r>
      <w:r>
        <w:rPr>
          <w:rFonts w:ascii="微软雅黑" w:hAnsi="微软雅黑" w:eastAsia="微软雅黑" w:cs="微软雅黑"/>
          <w:color w:val="32373F"/>
          <w:spacing w:val="3"/>
        </w:rPr>
        <w:t>行对比，判断热真空试验是否造成不可恢复的性能变化。</w:t>
      </w:r>
    </w:p>
    <w:p w14:paraId="4DA1F8B3">
      <w:pPr>
        <w:pStyle w:val="2"/>
        <w:spacing w:before="237" w:line="186" w:lineRule="auto"/>
        <w:ind w:left="2"/>
        <w:rPr>
          <w:rFonts w:ascii="微软雅黑" w:hAnsi="微软雅黑" w:eastAsia="微软雅黑" w:cs="微软雅黑"/>
        </w:rPr>
      </w:pPr>
      <w:r>
        <w:rPr>
          <w:rFonts w:ascii="微软雅黑" w:hAnsi="微软雅黑" w:eastAsia="微软雅黑" w:cs="微软雅黑"/>
          <w:color w:val="32373F"/>
          <w:spacing w:val="3"/>
        </w:rPr>
        <w:t xml:space="preserve">在整个热真空实验过程中， </w:t>
      </w:r>
      <w:r>
        <w:rPr>
          <w:color w:val="32373F"/>
        </w:rPr>
        <w:t>ECAL</w:t>
      </w:r>
      <w:r>
        <w:rPr>
          <w:color w:val="32373F"/>
          <w:spacing w:val="3"/>
        </w:rPr>
        <w:t xml:space="preserve"> </w:t>
      </w:r>
      <w:r>
        <w:rPr>
          <w:rFonts w:ascii="微软雅黑" w:hAnsi="微软雅黑" w:eastAsia="微软雅黑" w:cs="微软雅黑"/>
          <w:color w:val="32373F"/>
          <w:spacing w:val="3"/>
        </w:rPr>
        <w:t>载荷全程保持通电工作状态，持续采集遥测数据、科学数据及运行日</w:t>
      </w:r>
    </w:p>
    <w:p w14:paraId="65973562">
      <w:pPr>
        <w:spacing w:before="65" w:line="236" w:lineRule="auto"/>
        <w:ind w:left="2" w:firstLine="4"/>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志。实验期间重点监测温度、电源电流、雪崩光电二极管高压、基线、电子学增益、宇</w:t>
      </w:r>
      <w:r>
        <w:rPr>
          <w:rFonts w:ascii="微软雅黑" w:hAnsi="微软雅黑" w:eastAsia="微软雅黑" w:cs="微软雅黑"/>
          <w:color w:val="32373F"/>
          <w:spacing w:val="4"/>
          <w:sz w:val="22"/>
          <w:szCs w:val="22"/>
        </w:rPr>
        <w:t>宙线最小电离粒子</w:t>
      </w:r>
      <w:r>
        <w:rPr>
          <w:rFonts w:ascii="微软雅黑" w:hAnsi="微软雅黑" w:eastAsia="微软雅黑" w:cs="微软雅黑"/>
          <w:color w:val="32373F"/>
          <w:spacing w:val="5"/>
          <w:sz w:val="22"/>
          <w:szCs w:val="22"/>
        </w:rPr>
        <w:t>响应、通信状态及数据采集状态等关键参数，用于综合判断载荷在真空与温度应力共同作用下的</w:t>
      </w:r>
      <w:r>
        <w:rPr>
          <w:rFonts w:ascii="微软雅黑" w:hAnsi="微软雅黑" w:eastAsia="微软雅黑" w:cs="微软雅黑"/>
          <w:color w:val="32373F"/>
          <w:spacing w:val="4"/>
          <w:sz w:val="22"/>
          <w:szCs w:val="22"/>
        </w:rPr>
        <w:t>工作可靠</w:t>
      </w:r>
      <w:r>
        <w:rPr>
          <w:rFonts w:ascii="微软雅黑" w:hAnsi="微软雅黑" w:eastAsia="微软雅黑" w:cs="微软雅黑"/>
          <w:color w:val="32373F"/>
          <w:spacing w:val="-10"/>
          <w:sz w:val="22"/>
          <w:szCs w:val="22"/>
        </w:rPr>
        <w:t>性。</w:t>
      </w:r>
    </w:p>
    <w:p w14:paraId="14E39CDB">
      <w:pPr>
        <w:pStyle w:val="2"/>
        <w:spacing w:before="267" w:line="233" w:lineRule="auto"/>
        <w:ind w:left="2" w:hanging="1"/>
        <w:rPr>
          <w:rFonts w:ascii="微软雅黑" w:hAnsi="微软雅黑" w:eastAsia="微软雅黑" w:cs="微软雅黑"/>
        </w:rPr>
      </w:pPr>
      <w:r>
        <w:rPr>
          <w:rFonts w:ascii="微软雅黑" w:hAnsi="微软雅黑" w:eastAsia="微软雅黑" w:cs="微软雅黑"/>
          <w:color w:val="32373F"/>
          <w:spacing w:val="3"/>
        </w:rPr>
        <w:t>各试验阶段的考核侧重点有所不同：</w:t>
      </w:r>
      <w:r>
        <w:rPr>
          <w:rFonts w:ascii="微软雅黑" w:hAnsi="微软雅黑" w:eastAsia="微软雅黑" w:cs="微软雅黑"/>
          <w:color w:val="32373F"/>
          <w:spacing w:val="24"/>
          <w:w w:val="101"/>
        </w:rPr>
        <w:t xml:space="preserve"> </w:t>
      </w:r>
      <w:r>
        <w:rPr>
          <w:rFonts w:ascii="微软雅黑" w:hAnsi="微软雅黑" w:eastAsia="微软雅黑" w:cs="微软雅黑"/>
          <w:b/>
          <w:bCs/>
          <w:color w:val="32373F"/>
          <w:spacing w:val="3"/>
        </w:rPr>
        <w:t>高温和低温平台阶段</w:t>
      </w:r>
      <w:r>
        <w:rPr>
          <w:rFonts w:ascii="微软雅黑" w:hAnsi="微软雅黑" w:eastAsia="微软雅黑" w:cs="微软雅黑"/>
          <w:color w:val="32373F"/>
          <w:spacing w:val="3"/>
        </w:rPr>
        <w:t>主要评估载荷在极端温度稳定环境下的性能保持</w:t>
      </w:r>
      <w:r>
        <w:rPr>
          <w:rFonts w:ascii="微软雅黑" w:hAnsi="微软雅黑" w:eastAsia="微软雅黑" w:cs="微软雅黑"/>
          <w:color w:val="32373F"/>
          <w:spacing w:val="2"/>
        </w:rPr>
        <w:t>能力；</w:t>
      </w:r>
      <w:r>
        <w:rPr>
          <w:rFonts w:ascii="微软雅黑" w:hAnsi="微软雅黑" w:eastAsia="微软雅黑" w:cs="微软雅黑"/>
          <w:b/>
          <w:bCs/>
          <w:color w:val="32373F"/>
          <w:spacing w:val="2"/>
        </w:rPr>
        <w:t>升降温过渡阶段</w:t>
      </w:r>
      <w:r>
        <w:rPr>
          <w:rFonts w:ascii="微软雅黑" w:hAnsi="微软雅黑" w:eastAsia="微软雅黑" w:cs="微软雅黑"/>
          <w:color w:val="32373F"/>
          <w:spacing w:val="2"/>
        </w:rPr>
        <w:t xml:space="preserve">主要考察系统参数对温度变化的响应特性及其稳定裕度；  </w:t>
      </w:r>
      <w:r>
        <w:rPr>
          <w:rFonts w:ascii="微软雅黑" w:hAnsi="微软雅黑" w:eastAsia="微软雅黑" w:cs="微软雅黑"/>
          <w:b/>
          <w:bCs/>
          <w:color w:val="32373F"/>
          <w:spacing w:val="2"/>
        </w:rPr>
        <w:t>试验前后室温测试</w:t>
      </w:r>
      <w:r>
        <w:rPr>
          <w:rFonts w:ascii="微软雅黑" w:hAnsi="微软雅黑" w:eastAsia="微软雅黑" w:cs="微软雅黑"/>
          <w:color w:val="32373F"/>
          <w:spacing w:val="2"/>
        </w:rPr>
        <w:t>则用于</w:t>
      </w:r>
      <w:r>
        <w:rPr>
          <w:rFonts w:ascii="微软雅黑" w:hAnsi="微软雅黑" w:eastAsia="微软雅黑" w:cs="微软雅黑"/>
          <w:color w:val="32373F"/>
          <w:spacing w:val="5"/>
        </w:rPr>
        <w:t>评判热真空环境是否对载荷造成不可逆的性能影响。实验结束后，通过对试验前后基线、电子学</w:t>
      </w:r>
      <w:r>
        <w:rPr>
          <w:rFonts w:ascii="微软雅黑" w:hAnsi="微软雅黑" w:eastAsia="微软雅黑" w:cs="微软雅黑"/>
          <w:color w:val="32373F"/>
          <w:spacing w:val="4"/>
        </w:rPr>
        <w:t>增益、宇</w:t>
      </w:r>
      <w:r>
        <w:rPr>
          <w:rFonts w:ascii="微软雅黑" w:hAnsi="微软雅黑" w:eastAsia="微软雅黑" w:cs="微软雅黑"/>
          <w:color w:val="32373F"/>
          <w:spacing w:val="5"/>
        </w:rPr>
        <w:t>宙线最小电离粒子响应、电源电流、温度及数据采集状态等各项结果的系统</w:t>
      </w:r>
      <w:r>
        <w:rPr>
          <w:rFonts w:ascii="微软雅黑" w:hAnsi="微软雅黑" w:eastAsia="微软雅黑" w:cs="微软雅黑"/>
          <w:color w:val="32373F"/>
          <w:spacing w:val="4"/>
        </w:rPr>
        <w:t xml:space="preserve">对比分析，对 </w:t>
      </w:r>
      <w:r>
        <w:rPr>
          <w:color w:val="32373F"/>
        </w:rPr>
        <w:t>ECAL</w:t>
      </w:r>
      <w:r>
        <w:rPr>
          <w:color w:val="32373F"/>
          <w:spacing w:val="4"/>
        </w:rPr>
        <w:t xml:space="preserve"> </w:t>
      </w:r>
      <w:r>
        <w:rPr>
          <w:rFonts w:ascii="微软雅黑" w:hAnsi="微软雅黑" w:eastAsia="微软雅黑" w:cs="微软雅黑"/>
          <w:color w:val="32373F"/>
          <w:spacing w:val="4"/>
        </w:rPr>
        <w:t>载荷经</w:t>
      </w:r>
      <w:r>
        <w:rPr>
          <w:rFonts w:ascii="微软雅黑" w:hAnsi="微软雅黑" w:eastAsia="微软雅黑" w:cs="微软雅黑"/>
          <w:color w:val="32373F"/>
          <w:spacing w:val="3"/>
        </w:rPr>
        <w:t>历热真空环境后的性能恢复能力和长期可靠性作出综合评价。</w:t>
      </w:r>
    </w:p>
    <w:p w14:paraId="2606DE6E">
      <w:pPr>
        <w:spacing w:before="221" w:line="30" w:lineRule="exact"/>
      </w:pPr>
      <w:r>
        <w:drawing>
          <wp:inline distT="0" distB="0" distL="0" distR="0">
            <wp:extent cx="6572250" cy="190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6572250" cy="19050"/>
                    </a:xfrm>
                    <a:prstGeom prst="rect">
                      <a:avLst/>
                    </a:prstGeom>
                  </pic:spPr>
                </pic:pic>
              </a:graphicData>
            </a:graphic>
          </wp:inline>
        </w:drawing>
      </w:r>
    </w:p>
    <w:p w14:paraId="15FECB5A">
      <w:pPr>
        <w:pStyle w:val="2"/>
        <w:spacing w:before="232" w:line="184" w:lineRule="auto"/>
        <w:ind w:left="11"/>
        <w:outlineLvl w:val="1"/>
        <w:rPr>
          <w:rFonts w:ascii="微软雅黑" w:hAnsi="微软雅黑" w:eastAsia="微软雅黑" w:cs="微软雅黑"/>
          <w:sz w:val="29"/>
          <w:szCs w:val="29"/>
        </w:rPr>
      </w:pPr>
      <w:r>
        <w:rPr>
          <w:b/>
          <w:bCs/>
          <w:color w:val="32373F"/>
          <w:spacing w:val="1"/>
          <w:sz w:val="29"/>
          <w:szCs w:val="29"/>
        </w:rPr>
        <w:t xml:space="preserve">3. </w:t>
      </w:r>
      <w:r>
        <w:rPr>
          <w:rFonts w:ascii="微软雅黑" w:hAnsi="微软雅黑" w:eastAsia="微软雅黑" w:cs="微软雅黑"/>
          <w:b/>
          <w:bCs/>
          <w:color w:val="32373F"/>
          <w:spacing w:val="1"/>
          <w:sz w:val="29"/>
          <w:szCs w:val="29"/>
        </w:rPr>
        <w:t>实验设置与数据筛选</w:t>
      </w:r>
    </w:p>
    <w:p w14:paraId="43DBEBA8">
      <w:pPr>
        <w:pStyle w:val="2"/>
        <w:spacing w:before="270" w:line="188" w:lineRule="auto"/>
        <w:ind w:left="9"/>
        <w:outlineLvl w:val="2"/>
        <w:rPr>
          <w:rFonts w:ascii="微软雅黑" w:hAnsi="微软雅黑" w:eastAsia="微软雅黑" w:cs="微软雅黑"/>
          <w:sz w:val="24"/>
          <w:szCs w:val="24"/>
        </w:rPr>
      </w:pPr>
      <w:r>
        <w:rPr>
          <w:b/>
          <w:bCs/>
          <w:color w:val="32373F"/>
          <w:spacing w:val="4"/>
          <w:sz w:val="24"/>
          <w:szCs w:val="24"/>
        </w:rPr>
        <w:t xml:space="preserve">3.1 </w:t>
      </w:r>
      <w:r>
        <w:rPr>
          <w:b/>
          <w:bCs/>
          <w:color w:val="32373F"/>
          <w:sz w:val="24"/>
          <w:szCs w:val="24"/>
        </w:rPr>
        <w:t>APD</w:t>
      </w:r>
      <w:r>
        <w:rPr>
          <w:rFonts w:ascii="微软雅黑" w:hAnsi="微软雅黑" w:eastAsia="微软雅黑" w:cs="微软雅黑"/>
          <w:b/>
          <w:bCs/>
          <w:color w:val="32373F"/>
          <w:spacing w:val="4"/>
          <w:sz w:val="24"/>
          <w:szCs w:val="24"/>
        </w:rPr>
        <w:t>高压设置</w:t>
      </w:r>
    </w:p>
    <w:p w14:paraId="54619330">
      <w:pPr>
        <w:pStyle w:val="2"/>
        <w:spacing w:before="180" w:line="243" w:lineRule="auto"/>
        <w:ind w:left="3" w:right="367"/>
        <w:rPr>
          <w:rFonts w:ascii="微软雅黑" w:hAnsi="微软雅黑" w:eastAsia="微软雅黑" w:cs="微软雅黑"/>
        </w:rPr>
      </w:pPr>
      <w:r>
        <w:rPr>
          <w:rFonts w:ascii="微软雅黑" w:hAnsi="微软雅黑" w:eastAsia="微软雅黑" w:cs="微软雅黑"/>
          <w:color w:val="32373F"/>
          <w:spacing w:val="3"/>
        </w:rPr>
        <w:t>本次热真空实验中，</w:t>
      </w:r>
      <w:r>
        <w:rPr>
          <w:rFonts w:ascii="微软雅黑" w:hAnsi="微软雅黑" w:eastAsia="微软雅黑" w:cs="微软雅黑"/>
          <w:color w:val="32373F"/>
          <w:spacing w:val="-2"/>
        </w:rPr>
        <w:t xml:space="preserve"> </w:t>
      </w:r>
      <w:r>
        <w:rPr>
          <w:color w:val="32373F"/>
        </w:rPr>
        <w:t>Calo</w:t>
      </w:r>
      <w:r>
        <w:rPr>
          <w:color w:val="32373F"/>
          <w:spacing w:val="3"/>
        </w:rPr>
        <w:t xml:space="preserve"> </w:t>
      </w:r>
      <w:r>
        <w:rPr>
          <w:rFonts w:ascii="微软雅黑" w:hAnsi="微软雅黑" w:eastAsia="微软雅黑" w:cs="微软雅黑"/>
          <w:color w:val="32373F"/>
          <w:spacing w:val="3"/>
        </w:rPr>
        <w:t>的雪崩光电二极管（</w:t>
      </w:r>
      <w:r>
        <w:rPr>
          <w:color w:val="32373F"/>
        </w:rPr>
        <w:t>Avalanche</w:t>
      </w:r>
      <w:r>
        <w:rPr>
          <w:color w:val="32373F"/>
          <w:spacing w:val="19"/>
        </w:rPr>
        <w:t xml:space="preserve"> </w:t>
      </w:r>
      <w:r>
        <w:rPr>
          <w:color w:val="32373F"/>
        </w:rPr>
        <w:t>Photodiode</w:t>
      </w:r>
      <w:r>
        <w:rPr>
          <w:color w:val="32373F"/>
          <w:spacing w:val="-26"/>
        </w:rPr>
        <w:t xml:space="preserve"> </w:t>
      </w:r>
      <w:r>
        <w:rPr>
          <w:rFonts w:ascii="微软雅黑" w:hAnsi="微软雅黑" w:eastAsia="微软雅黑" w:cs="微软雅黑"/>
          <w:color w:val="32373F"/>
          <w:spacing w:val="3"/>
        </w:rPr>
        <w:t>，</w:t>
      </w:r>
      <w:r>
        <w:rPr>
          <w:color w:val="32373F"/>
        </w:rPr>
        <w:t>APD</w:t>
      </w:r>
      <w:r>
        <w:rPr>
          <w:rFonts w:ascii="微软雅黑" w:hAnsi="微软雅黑" w:eastAsia="微软雅黑" w:cs="微软雅黑"/>
          <w:color w:val="32373F"/>
          <w:spacing w:val="3"/>
        </w:rPr>
        <w:t>）工作高压设置如下表所</w:t>
      </w:r>
      <w:r>
        <w:rPr>
          <w:rFonts w:ascii="微软雅黑" w:hAnsi="微软雅黑" w:eastAsia="微软雅黑" w:cs="微软雅黑"/>
          <w:color w:val="32373F"/>
          <w:spacing w:val="-10"/>
        </w:rPr>
        <w:t>示。</w:t>
      </w:r>
    </w:p>
    <w:p w14:paraId="2F7C0809">
      <w:pPr>
        <w:spacing w:before="128"/>
      </w:pPr>
    </w:p>
    <w:tbl>
      <w:tblPr>
        <w:tblStyle w:val="8"/>
        <w:tblW w:w="8340" w:type="dxa"/>
        <w:tblInd w:w="7" w:type="dxa"/>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Layout w:type="fixed"/>
        <w:tblCellMar>
          <w:top w:w="0" w:type="dxa"/>
          <w:left w:w="0" w:type="dxa"/>
          <w:bottom w:w="0" w:type="dxa"/>
          <w:right w:w="0" w:type="dxa"/>
        </w:tblCellMar>
      </w:tblPr>
      <w:tblGrid>
        <w:gridCol w:w="936"/>
        <w:gridCol w:w="3938"/>
        <w:gridCol w:w="3466"/>
      </w:tblGrid>
      <w:tr w14:paraId="6265BFCE">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32" w:hRule="atLeast"/>
        </w:trPr>
        <w:tc>
          <w:tcPr>
            <w:tcW w:w="936" w:type="dxa"/>
            <w:tcBorders>
              <w:bottom w:val="single" w:color="DCDCDC" w:sz="12" w:space="0"/>
            </w:tcBorders>
            <w:shd w:val="clear" w:color="auto" w:fill="F7F7F7"/>
            <w:vAlign w:val="top"/>
          </w:tcPr>
          <w:p w14:paraId="1B9139CA">
            <w:pPr>
              <w:pStyle w:val="9"/>
              <w:spacing w:before="169" w:line="186" w:lineRule="auto"/>
              <w:ind w:left="234"/>
            </w:pPr>
            <w:r>
              <w:rPr>
                <w:b/>
                <w:bCs/>
                <w:color w:val="32373F"/>
                <w:spacing w:val="3"/>
              </w:rPr>
              <w:t>模块</w:t>
            </w:r>
          </w:p>
        </w:tc>
        <w:tc>
          <w:tcPr>
            <w:tcW w:w="3938" w:type="dxa"/>
            <w:tcBorders>
              <w:bottom w:val="single" w:color="DCDCDC" w:sz="12" w:space="0"/>
            </w:tcBorders>
            <w:shd w:val="clear" w:color="auto" w:fill="F7F7F7"/>
            <w:vAlign w:val="top"/>
          </w:tcPr>
          <w:p w14:paraId="3DACDF9A">
            <w:pPr>
              <w:pStyle w:val="9"/>
              <w:spacing w:before="167" w:line="187" w:lineRule="auto"/>
              <w:ind w:left="1236"/>
            </w:pPr>
            <w:r>
              <w:rPr>
                <w:rFonts w:ascii="Arial" w:hAnsi="Arial" w:eastAsia="Arial" w:cs="Arial"/>
                <w:b/>
                <w:bCs/>
                <w:color w:val="32373F"/>
              </w:rPr>
              <w:t>APD</w:t>
            </w:r>
            <w:r>
              <w:rPr>
                <w:rFonts w:ascii="Arial" w:hAnsi="Arial" w:eastAsia="Arial" w:cs="Arial"/>
                <w:b/>
                <w:bCs/>
                <w:color w:val="32373F"/>
                <w:spacing w:val="6"/>
              </w:rPr>
              <w:t xml:space="preserve"> </w:t>
            </w:r>
            <w:r>
              <w:rPr>
                <w:b/>
                <w:bCs/>
                <w:color w:val="32373F"/>
                <w:spacing w:val="6"/>
              </w:rPr>
              <w:t>高压设置</w:t>
            </w:r>
          </w:p>
        </w:tc>
        <w:tc>
          <w:tcPr>
            <w:tcW w:w="3466" w:type="dxa"/>
            <w:tcBorders>
              <w:bottom w:val="single" w:color="DCDCDC" w:sz="12" w:space="0"/>
            </w:tcBorders>
            <w:shd w:val="clear" w:color="auto" w:fill="F7F7F7"/>
            <w:vAlign w:val="top"/>
          </w:tcPr>
          <w:p w14:paraId="3AAF8716">
            <w:pPr>
              <w:pStyle w:val="9"/>
              <w:spacing w:before="169" w:line="186" w:lineRule="auto"/>
              <w:ind w:left="1505"/>
            </w:pPr>
            <w:r>
              <w:rPr>
                <w:b/>
                <w:bCs/>
                <w:color w:val="32373F"/>
                <w:spacing w:val="3"/>
              </w:rPr>
              <w:t>说明</w:t>
            </w:r>
          </w:p>
        </w:tc>
      </w:tr>
      <w:tr w14:paraId="4569FB73">
        <w:tblPrEx>
          <w:tblBorders>
            <w:top w:val="single" w:color="DCDCDC" w:sz="6" w:space="0"/>
            <w:left w:val="single" w:color="DCDCDC" w:sz="6" w:space="0"/>
            <w:bottom w:val="single" w:color="DCDCDC" w:sz="6" w:space="0"/>
            <w:right w:val="single" w:color="DCDCDC" w:sz="6" w:space="0"/>
            <w:insideH w:val="single" w:color="DCDCDC" w:sz="6" w:space="0"/>
            <w:insideV w:val="single" w:color="DCDCDC" w:sz="6" w:space="0"/>
          </w:tblBorders>
          <w:tblCellMar>
            <w:top w:w="0" w:type="dxa"/>
            <w:left w:w="0" w:type="dxa"/>
            <w:bottom w:w="0" w:type="dxa"/>
            <w:right w:w="0" w:type="dxa"/>
          </w:tblCellMar>
        </w:tblPrEx>
        <w:trPr>
          <w:trHeight w:val="517" w:hRule="atLeast"/>
        </w:trPr>
        <w:tc>
          <w:tcPr>
            <w:tcW w:w="936" w:type="dxa"/>
            <w:tcBorders>
              <w:top w:val="single" w:color="DCDCDC" w:sz="12" w:space="0"/>
            </w:tcBorders>
            <w:vAlign w:val="top"/>
          </w:tcPr>
          <w:p w14:paraId="33CF91B4">
            <w:pPr>
              <w:spacing w:before="171" w:line="202" w:lineRule="auto"/>
              <w:ind w:left="236"/>
              <w:rPr>
                <w:rFonts w:ascii="Arial" w:hAnsi="Arial" w:eastAsia="Arial" w:cs="Arial"/>
                <w:sz w:val="22"/>
                <w:szCs w:val="22"/>
              </w:rPr>
            </w:pPr>
            <w:r>
              <w:rPr>
                <w:rFonts w:ascii="Arial" w:hAnsi="Arial" w:eastAsia="Arial" w:cs="Arial"/>
                <w:color w:val="32373F"/>
                <w:spacing w:val="-1"/>
                <w:sz w:val="22"/>
                <w:szCs w:val="22"/>
              </w:rPr>
              <w:t>Calo</w:t>
            </w:r>
          </w:p>
        </w:tc>
        <w:tc>
          <w:tcPr>
            <w:tcW w:w="3938" w:type="dxa"/>
            <w:tcBorders>
              <w:top w:val="single" w:color="DCDCDC" w:sz="12" w:space="0"/>
            </w:tcBorders>
            <w:vAlign w:val="top"/>
          </w:tcPr>
          <w:p w14:paraId="42D56A98">
            <w:pPr>
              <w:pStyle w:val="9"/>
              <w:spacing w:before="119" w:line="235" w:lineRule="auto"/>
              <w:ind w:left="226"/>
            </w:pPr>
            <w:r>
              <w:rPr>
                <w:rFonts w:ascii="Arial" w:hAnsi="Arial" w:eastAsia="Arial" w:cs="Arial"/>
                <w:color w:val="32373F"/>
              </w:rPr>
              <w:t>351.5 V</w:t>
            </w:r>
            <w:r>
              <w:rPr>
                <w:color w:val="32373F"/>
              </w:rPr>
              <w:t>（主份）</w:t>
            </w:r>
            <w:r>
              <w:rPr>
                <w:color w:val="32373F"/>
                <w:spacing w:val="-32"/>
              </w:rPr>
              <w:t xml:space="preserve"> </w:t>
            </w:r>
            <w:r>
              <w:rPr>
                <w:rFonts w:ascii="Arial" w:hAnsi="Arial" w:eastAsia="Arial" w:cs="Arial"/>
                <w:color w:val="32373F"/>
              </w:rPr>
              <w:t>/ 352.0 V</w:t>
            </w:r>
            <w:r>
              <w:rPr>
                <w:color w:val="32373F"/>
              </w:rPr>
              <w:t>（备份）</w:t>
            </w:r>
          </w:p>
        </w:tc>
        <w:tc>
          <w:tcPr>
            <w:tcW w:w="3466" w:type="dxa"/>
            <w:tcBorders>
              <w:top w:val="single" w:color="DCDCDC" w:sz="12" w:space="0"/>
            </w:tcBorders>
            <w:vAlign w:val="top"/>
          </w:tcPr>
          <w:p w14:paraId="57A62C93">
            <w:pPr>
              <w:pStyle w:val="9"/>
              <w:spacing w:before="118" w:line="241" w:lineRule="auto"/>
              <w:ind w:left="232"/>
              <w:rPr>
                <w:rFonts w:ascii="Arial" w:hAnsi="Arial" w:eastAsia="Arial" w:cs="Arial"/>
              </w:rPr>
            </w:pPr>
            <w:r>
              <w:rPr>
                <w:color w:val="32373F"/>
                <w:spacing w:val="3"/>
              </w:rPr>
              <w:t xml:space="preserve">比推荐 </w:t>
            </w:r>
            <w:r>
              <w:rPr>
                <w:rFonts w:ascii="Arial" w:hAnsi="Arial" w:eastAsia="Arial" w:cs="Arial"/>
                <w:color w:val="32373F"/>
              </w:rPr>
              <w:t>APD</w:t>
            </w:r>
            <w:r>
              <w:rPr>
                <w:rFonts w:ascii="Arial" w:hAnsi="Arial" w:eastAsia="Arial" w:cs="Arial"/>
                <w:color w:val="32373F"/>
                <w:spacing w:val="3"/>
              </w:rPr>
              <w:t xml:space="preserve"> </w:t>
            </w:r>
            <w:r>
              <w:rPr>
                <w:color w:val="32373F"/>
                <w:spacing w:val="3"/>
              </w:rPr>
              <w:t xml:space="preserve">电压均值降低 </w:t>
            </w:r>
            <w:r>
              <w:rPr>
                <w:rFonts w:ascii="Arial" w:hAnsi="Arial" w:eastAsia="Arial" w:cs="Arial"/>
                <w:color w:val="32373F"/>
                <w:spacing w:val="3"/>
              </w:rPr>
              <w:t>3 V</w:t>
            </w:r>
          </w:p>
        </w:tc>
      </w:tr>
    </w:tbl>
    <w:p w14:paraId="1CA618A1">
      <w:pPr>
        <w:pStyle w:val="2"/>
        <w:spacing w:before="320" w:line="239" w:lineRule="auto"/>
        <w:ind w:left="3" w:right="160" w:firstLine="1"/>
        <w:rPr>
          <w:rFonts w:ascii="微软雅黑" w:hAnsi="微软雅黑" w:eastAsia="微软雅黑" w:cs="微软雅黑"/>
        </w:rPr>
      </w:pPr>
      <w:r>
        <w:rPr>
          <w:rFonts w:ascii="微软雅黑" w:hAnsi="微软雅黑" w:eastAsia="微软雅黑" w:cs="微软雅黑"/>
          <w:color w:val="32373F"/>
          <w:spacing w:val="4"/>
        </w:rPr>
        <w:t xml:space="preserve">主份与备份通道的工作电压均在推荐 </w:t>
      </w:r>
      <w:r>
        <w:rPr>
          <w:color w:val="32373F"/>
        </w:rPr>
        <w:t>APD</w:t>
      </w:r>
      <w:r>
        <w:rPr>
          <w:color w:val="32373F"/>
          <w:spacing w:val="4"/>
        </w:rPr>
        <w:t xml:space="preserve"> </w:t>
      </w:r>
      <w:r>
        <w:rPr>
          <w:rFonts w:ascii="微软雅黑" w:hAnsi="微软雅黑" w:eastAsia="微软雅黑" w:cs="微软雅黑"/>
          <w:color w:val="32373F"/>
          <w:spacing w:val="4"/>
        </w:rPr>
        <w:t xml:space="preserve">电压均值的基础上降低 </w:t>
      </w:r>
      <w:r>
        <w:rPr>
          <w:color w:val="32373F"/>
          <w:spacing w:val="4"/>
        </w:rPr>
        <w:t>3 V</w:t>
      </w:r>
      <w:r>
        <w:rPr>
          <w:rFonts w:ascii="微软雅黑" w:hAnsi="微软雅黑" w:eastAsia="微软雅黑" w:cs="微软雅黑"/>
          <w:color w:val="32373F"/>
          <w:spacing w:val="4"/>
        </w:rPr>
        <w:t>，以确保器件在热真空温度范围内</w:t>
      </w:r>
      <w:r>
        <w:rPr>
          <w:rFonts w:ascii="微软雅黑" w:hAnsi="微软雅黑" w:eastAsia="微软雅黑" w:cs="微软雅黑"/>
          <w:color w:val="32373F"/>
          <w:spacing w:val="3"/>
        </w:rPr>
        <w:t xml:space="preserve">具有足够的工作裕量，避免因温度升高导致 </w:t>
      </w:r>
      <w:r>
        <w:rPr>
          <w:color w:val="32373F"/>
        </w:rPr>
        <w:t>APD</w:t>
      </w:r>
      <w:r>
        <w:rPr>
          <w:color w:val="32373F"/>
          <w:spacing w:val="3"/>
        </w:rPr>
        <w:t xml:space="preserve"> </w:t>
      </w:r>
      <w:r>
        <w:rPr>
          <w:rFonts w:ascii="微软雅黑" w:hAnsi="微软雅黑" w:eastAsia="微软雅黑" w:cs="微软雅黑"/>
          <w:color w:val="32373F"/>
          <w:spacing w:val="3"/>
        </w:rPr>
        <w:t>增益过大而影响读出线性度。</w:t>
      </w:r>
    </w:p>
    <w:p w14:paraId="1C6E3E60">
      <w:pPr>
        <w:pStyle w:val="2"/>
        <w:spacing w:before="308" w:line="187" w:lineRule="auto"/>
        <w:ind w:left="9"/>
        <w:outlineLvl w:val="2"/>
        <w:rPr>
          <w:rFonts w:ascii="微软雅黑" w:hAnsi="微软雅黑" w:eastAsia="微软雅黑" w:cs="微软雅黑"/>
          <w:sz w:val="24"/>
          <w:szCs w:val="24"/>
        </w:rPr>
      </w:pPr>
      <w:r>
        <w:rPr>
          <w:b/>
          <w:bCs/>
          <w:color w:val="32373F"/>
          <w:spacing w:val="5"/>
          <w:sz w:val="24"/>
          <w:szCs w:val="24"/>
        </w:rPr>
        <w:t xml:space="preserve">3.2 </w:t>
      </w:r>
      <w:r>
        <w:rPr>
          <w:rFonts w:ascii="微软雅黑" w:hAnsi="微软雅黑" w:eastAsia="微软雅黑" w:cs="微软雅黑"/>
          <w:b/>
          <w:bCs/>
          <w:color w:val="32373F"/>
          <w:spacing w:val="5"/>
          <w:sz w:val="24"/>
          <w:szCs w:val="24"/>
        </w:rPr>
        <w:t>宇宙线数据筛选</w:t>
      </w:r>
    </w:p>
    <w:p w14:paraId="13A1462D">
      <w:pPr>
        <w:pStyle w:val="2"/>
        <w:spacing w:before="208" w:line="230" w:lineRule="auto"/>
        <w:ind w:left="2" w:right="47"/>
        <w:rPr>
          <w:rFonts w:ascii="微软雅黑" w:hAnsi="微软雅黑" w:eastAsia="微软雅黑" w:cs="微软雅黑"/>
        </w:rPr>
      </w:pPr>
      <w:r>
        <w:rPr>
          <w:rFonts w:ascii="微软雅黑" w:hAnsi="微软雅黑" w:eastAsia="微软雅黑" w:cs="微软雅黑"/>
          <w:color w:val="32373F"/>
          <w:spacing w:val="4"/>
        </w:rPr>
        <w:t>在宇宙线数据分析中，为抑制多晶体联合击中、斜入射宇宙线及电磁簇射事件对单通道响应分</w:t>
      </w:r>
      <w:r>
        <w:rPr>
          <w:rFonts w:ascii="微软雅黑" w:hAnsi="微软雅黑" w:eastAsia="微软雅黑" w:cs="微软雅黑"/>
          <w:color w:val="32373F"/>
          <w:spacing w:val="3"/>
        </w:rPr>
        <w:t>析的干扰，</w:t>
      </w:r>
      <w:r>
        <w:rPr>
          <w:rFonts w:ascii="微软雅黑" w:hAnsi="微软雅黑" w:eastAsia="微软雅黑" w:cs="微软雅黑"/>
          <w:color w:val="32373F"/>
          <w:spacing w:val="6"/>
        </w:rPr>
        <w:t>本实验优先筛选</w:t>
      </w:r>
      <w:r>
        <w:rPr>
          <w:rFonts w:ascii="微软雅黑" w:hAnsi="微软雅黑" w:eastAsia="微软雅黑" w:cs="微软雅黑"/>
          <w:b/>
          <w:bCs/>
          <w:color w:val="32373F"/>
          <w:spacing w:val="6"/>
        </w:rPr>
        <w:t>单晶体击中事件</w:t>
      </w:r>
      <w:r>
        <w:rPr>
          <w:rFonts w:ascii="微软雅黑" w:hAnsi="微软雅黑" w:eastAsia="微软雅黑" w:cs="微软雅黑"/>
          <w:color w:val="32373F"/>
          <w:spacing w:val="6"/>
        </w:rPr>
        <w:t>（</w:t>
      </w:r>
      <w:r>
        <w:rPr>
          <w:color w:val="32373F"/>
        </w:rPr>
        <w:t>single</w:t>
      </w:r>
      <w:r>
        <w:rPr>
          <w:color w:val="32373F"/>
          <w:spacing w:val="6"/>
        </w:rPr>
        <w:t>-</w:t>
      </w:r>
      <w:r>
        <w:rPr>
          <w:color w:val="32373F"/>
        </w:rPr>
        <w:t>hit</w:t>
      </w:r>
      <w:r>
        <w:rPr>
          <w:color w:val="32373F"/>
          <w:spacing w:val="6"/>
        </w:rPr>
        <w:t xml:space="preserve"> </w:t>
      </w:r>
      <w:r>
        <w:rPr>
          <w:color w:val="32373F"/>
        </w:rPr>
        <w:t>event</w:t>
      </w:r>
      <w:r>
        <w:rPr>
          <w:rFonts w:ascii="微软雅黑" w:hAnsi="微软雅黑" w:eastAsia="微软雅黑" w:cs="微软雅黑"/>
          <w:color w:val="32373F"/>
          <w:spacing w:val="4"/>
        </w:rPr>
        <w:t>），</w:t>
      </w:r>
      <w:r>
        <w:rPr>
          <w:rFonts w:ascii="微软雅黑" w:hAnsi="微软雅黑" w:eastAsia="微软雅黑" w:cs="微软雅黑"/>
          <w:color w:val="32373F"/>
          <w:spacing w:val="6"/>
        </w:rPr>
        <w:t>即在一</w:t>
      </w:r>
      <w:r>
        <w:rPr>
          <w:rFonts w:ascii="微软雅黑" w:hAnsi="微软雅黑" w:eastAsia="微软雅黑" w:cs="微软雅黑"/>
          <w:color w:val="32373F"/>
          <w:spacing w:val="5"/>
        </w:rPr>
        <w:t>次触发中仅有一个晶体单元记录到有效信号</w:t>
      </w:r>
    </w:p>
    <w:p w14:paraId="08CC3D33">
      <w:pPr>
        <w:spacing w:line="230" w:lineRule="auto"/>
        <w:rPr>
          <w:rFonts w:ascii="微软雅黑" w:hAnsi="微软雅黑" w:eastAsia="微软雅黑" w:cs="微软雅黑"/>
        </w:rPr>
        <w:sectPr>
          <w:pgSz w:w="11919" w:h="16858"/>
          <w:pgMar w:top="811" w:right="783" w:bottom="0" w:left="785" w:header="0" w:footer="0" w:gutter="0"/>
          <w:cols w:space="720" w:num="1"/>
        </w:sectPr>
      </w:pPr>
    </w:p>
    <w:p w14:paraId="3BD72684">
      <w:pPr>
        <w:spacing w:before="44" w:line="185" w:lineRule="auto"/>
        <w:ind w:left="12"/>
        <w:rPr>
          <w:rFonts w:ascii="微软雅黑" w:hAnsi="微软雅黑" w:eastAsia="微软雅黑" w:cs="微软雅黑"/>
          <w:sz w:val="22"/>
          <w:szCs w:val="22"/>
        </w:rPr>
      </w:pPr>
      <w:r>
        <w:rPr>
          <w:rFonts w:ascii="微软雅黑" w:hAnsi="微软雅黑" w:eastAsia="微软雅黑" w:cs="微软雅黑"/>
          <w:color w:val="32373F"/>
          <w:spacing w:val="-8"/>
          <w:sz w:val="22"/>
          <w:szCs w:val="22"/>
        </w:rPr>
        <w:t>的事件。</w:t>
      </w:r>
    </w:p>
    <w:p w14:paraId="35617D29">
      <w:pPr>
        <w:pStyle w:val="2"/>
        <w:spacing w:line="269" w:lineRule="auto"/>
        <w:rPr>
          <w:sz w:val="21"/>
        </w:rPr>
      </w:pPr>
    </w:p>
    <w:p w14:paraId="6C20FD96">
      <w:pPr>
        <w:spacing w:before="95" w:line="187" w:lineRule="auto"/>
        <w:ind w:left="3"/>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相较于多晶体击中事件，单晶体击中事件的能量沉积更为集中，信号形态更接近理想的最小</w:t>
      </w:r>
      <w:r>
        <w:rPr>
          <w:rFonts w:ascii="微软雅黑" w:hAnsi="微软雅黑" w:eastAsia="微软雅黑" w:cs="微软雅黑"/>
          <w:color w:val="32373F"/>
          <w:spacing w:val="4"/>
          <w:sz w:val="22"/>
          <w:szCs w:val="22"/>
        </w:rPr>
        <w:t>电离粒子响</w:t>
      </w:r>
    </w:p>
    <w:p w14:paraId="3C61ECCE">
      <w:pPr>
        <w:spacing w:before="67" w:line="239" w:lineRule="auto"/>
        <w:ind w:left="1" w:hanging="1"/>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应，因而更适用于单元响应分析、最小电离粒子峰位提取及通道稳定性监测，有助于准确判断各晶体</w:t>
      </w:r>
      <w:r>
        <w:rPr>
          <w:rFonts w:ascii="微软雅黑" w:hAnsi="微软雅黑" w:eastAsia="微软雅黑" w:cs="微软雅黑"/>
          <w:color w:val="32373F"/>
          <w:spacing w:val="4"/>
          <w:sz w:val="22"/>
          <w:szCs w:val="22"/>
        </w:rPr>
        <w:t>单元</w:t>
      </w:r>
      <w:r>
        <w:rPr>
          <w:rFonts w:ascii="微软雅黑" w:hAnsi="微软雅黑" w:eastAsia="微软雅黑" w:cs="微软雅黑"/>
          <w:color w:val="32373F"/>
          <w:spacing w:val="2"/>
          <w:sz w:val="22"/>
          <w:szCs w:val="22"/>
        </w:rPr>
        <w:t>在热真空环境下的相对响应变化趋势。</w:t>
      </w:r>
    </w:p>
    <w:p w14:paraId="1133F2ED">
      <w:pPr>
        <w:pStyle w:val="2"/>
        <w:spacing w:before="279" w:line="187" w:lineRule="auto"/>
        <w:ind w:left="9"/>
        <w:outlineLvl w:val="2"/>
        <w:rPr>
          <w:rFonts w:ascii="微软雅黑" w:hAnsi="微软雅黑" w:eastAsia="微软雅黑" w:cs="微软雅黑"/>
          <w:sz w:val="24"/>
          <w:szCs w:val="24"/>
        </w:rPr>
      </w:pPr>
      <w:r>
        <w:rPr>
          <w:b/>
          <w:bCs/>
          <w:color w:val="32373F"/>
          <w:spacing w:val="5"/>
          <w:sz w:val="24"/>
          <w:szCs w:val="24"/>
        </w:rPr>
        <w:t xml:space="preserve">3.3 </w:t>
      </w:r>
      <w:r>
        <w:rPr>
          <w:rFonts w:ascii="微软雅黑" w:hAnsi="微软雅黑" w:eastAsia="微软雅黑" w:cs="微软雅黑"/>
          <w:b/>
          <w:bCs/>
          <w:color w:val="32373F"/>
          <w:spacing w:val="5"/>
          <w:sz w:val="24"/>
          <w:szCs w:val="24"/>
        </w:rPr>
        <w:t>数据分析阶段划分</w:t>
      </w:r>
    </w:p>
    <w:p w14:paraId="6445BD0C">
      <w:pPr>
        <w:pStyle w:val="2"/>
        <w:spacing w:before="206" w:line="187" w:lineRule="auto"/>
        <w:ind w:left="7"/>
        <w:rPr>
          <w:rFonts w:ascii="微软雅黑" w:hAnsi="微软雅黑" w:eastAsia="微软雅黑" w:cs="微软雅黑"/>
        </w:rPr>
      </w:pPr>
      <w:r>
        <w:rPr>
          <w:rFonts w:ascii="微软雅黑" w:hAnsi="微软雅黑" w:eastAsia="微软雅黑" w:cs="微软雅黑"/>
          <w:color w:val="32373F"/>
          <w:spacing w:val="4"/>
        </w:rPr>
        <w:t xml:space="preserve">为全面反映 </w:t>
      </w:r>
      <w:r>
        <w:rPr>
          <w:color w:val="32373F"/>
        </w:rPr>
        <w:t>ECAL</w:t>
      </w:r>
      <w:r>
        <w:rPr>
          <w:color w:val="32373F"/>
          <w:spacing w:val="4"/>
        </w:rPr>
        <w:t xml:space="preserve"> </w:t>
      </w:r>
      <w:r>
        <w:rPr>
          <w:rFonts w:ascii="微软雅黑" w:hAnsi="微软雅黑" w:eastAsia="微软雅黑" w:cs="微软雅黑"/>
          <w:color w:val="32373F"/>
          <w:spacing w:val="4"/>
        </w:rPr>
        <w:t>载荷在热真空试验全程中的性能演化，本报告</w:t>
      </w:r>
      <w:r>
        <w:rPr>
          <w:rFonts w:ascii="微软雅黑" w:hAnsi="微软雅黑" w:eastAsia="微软雅黑" w:cs="微软雅黑"/>
          <w:color w:val="32373F"/>
          <w:spacing w:val="3"/>
        </w:rPr>
        <w:t>按照不同试验阶段分别给出分析结果。</w:t>
      </w:r>
    </w:p>
    <w:p w14:paraId="51117717">
      <w:pPr>
        <w:pStyle w:val="2"/>
        <w:spacing w:line="271" w:lineRule="auto"/>
        <w:rPr>
          <w:sz w:val="21"/>
        </w:rPr>
      </w:pPr>
    </w:p>
    <w:p w14:paraId="5A81B5C7">
      <w:pPr>
        <w:spacing w:before="94" w:line="186" w:lineRule="auto"/>
        <w:ind w:left="3"/>
        <w:rPr>
          <w:rFonts w:ascii="微软雅黑" w:hAnsi="微软雅黑" w:eastAsia="微软雅黑" w:cs="微软雅黑"/>
          <w:sz w:val="22"/>
          <w:szCs w:val="22"/>
        </w:rPr>
      </w:pPr>
      <w:r>
        <w:rPr>
          <w:rFonts w:ascii="微软雅黑" w:hAnsi="微软雅黑" w:eastAsia="微软雅黑" w:cs="微软雅黑"/>
          <w:color w:val="32373F"/>
          <w:spacing w:val="-1"/>
          <w:sz w:val="22"/>
          <w:szCs w:val="22"/>
        </w:rPr>
        <w:t>具体阶段划分如下：</w:t>
      </w:r>
    </w:p>
    <w:p w14:paraId="46D60FEA">
      <w:pPr>
        <w:pStyle w:val="2"/>
        <w:spacing w:line="269" w:lineRule="auto"/>
        <w:rPr>
          <w:sz w:val="21"/>
        </w:rPr>
      </w:pPr>
    </w:p>
    <w:p w14:paraId="4E678219">
      <w:pPr>
        <w:spacing w:before="95" w:line="187"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9"/>
          <w:sz w:val="22"/>
          <w:szCs w:val="22"/>
        </w:rPr>
        <w:t xml:space="preserve">  </w:t>
      </w:r>
      <w:r>
        <w:rPr>
          <w:rFonts w:ascii="微软雅黑" w:hAnsi="微软雅黑" w:eastAsia="微软雅黑" w:cs="微软雅黑"/>
          <w:b/>
          <w:bCs/>
          <w:color w:val="32373F"/>
          <w:spacing w:val="2"/>
          <w:sz w:val="22"/>
          <w:szCs w:val="22"/>
        </w:rPr>
        <w:t>试验前常温常压阶段</w:t>
      </w:r>
      <w:r>
        <w:rPr>
          <w:rFonts w:ascii="微软雅黑" w:hAnsi="微软雅黑" w:eastAsia="微软雅黑" w:cs="微软雅黑"/>
          <w:color w:val="32373F"/>
          <w:spacing w:val="2"/>
          <w:sz w:val="22"/>
          <w:szCs w:val="22"/>
        </w:rPr>
        <w:t>：作为性能基线参考；</w:t>
      </w:r>
    </w:p>
    <w:p w14:paraId="7A466318">
      <w:pPr>
        <w:spacing w:before="156" w:line="187"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5"/>
          <w:sz w:val="22"/>
          <w:szCs w:val="22"/>
        </w:rPr>
        <w:t xml:space="preserve">  </w:t>
      </w:r>
      <w:r>
        <w:rPr>
          <w:rFonts w:ascii="微软雅黑" w:hAnsi="微软雅黑" w:eastAsia="微软雅黑" w:cs="微软雅黑"/>
          <w:b/>
          <w:bCs/>
          <w:color w:val="32373F"/>
          <w:spacing w:val="3"/>
          <w:sz w:val="22"/>
          <w:szCs w:val="22"/>
        </w:rPr>
        <w:t>抽真空后稳定阶段</w:t>
      </w:r>
      <w:r>
        <w:rPr>
          <w:rFonts w:ascii="微软雅黑" w:hAnsi="微软雅黑" w:eastAsia="微软雅黑" w:cs="微软雅黑"/>
          <w:color w:val="32373F"/>
          <w:spacing w:val="3"/>
          <w:sz w:val="22"/>
          <w:szCs w:val="22"/>
        </w:rPr>
        <w:t>：考察真空环境引入对各参数的影响；</w:t>
      </w:r>
    </w:p>
    <w:p w14:paraId="564D5E16">
      <w:pPr>
        <w:spacing w:before="156" w:line="187"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6"/>
          <w:sz w:val="22"/>
          <w:szCs w:val="22"/>
        </w:rPr>
        <w:t xml:space="preserve">  </w:t>
      </w:r>
      <w:r>
        <w:rPr>
          <w:rFonts w:ascii="微软雅黑" w:hAnsi="微软雅黑" w:eastAsia="微软雅黑" w:cs="微软雅黑"/>
          <w:b/>
          <w:bCs/>
          <w:color w:val="32373F"/>
          <w:spacing w:val="3"/>
          <w:sz w:val="22"/>
          <w:szCs w:val="22"/>
        </w:rPr>
        <w:t>高温保持阶段</w:t>
      </w:r>
      <w:r>
        <w:rPr>
          <w:rFonts w:ascii="微软雅黑" w:hAnsi="微软雅黑" w:eastAsia="微软雅黑" w:cs="微软雅黑"/>
          <w:color w:val="32373F"/>
          <w:spacing w:val="3"/>
          <w:sz w:val="22"/>
          <w:szCs w:val="22"/>
        </w:rPr>
        <w:t>：评估高温稳定环境下的性能保持</w:t>
      </w:r>
      <w:r>
        <w:rPr>
          <w:rFonts w:ascii="微软雅黑" w:hAnsi="微软雅黑" w:eastAsia="微软雅黑" w:cs="微软雅黑"/>
          <w:color w:val="32373F"/>
          <w:spacing w:val="2"/>
          <w:sz w:val="22"/>
          <w:szCs w:val="22"/>
        </w:rPr>
        <w:t>能力；</w:t>
      </w:r>
    </w:p>
    <w:p w14:paraId="55C93AF4">
      <w:pPr>
        <w:spacing w:before="158" w:line="186"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5"/>
          <w:sz w:val="22"/>
          <w:szCs w:val="22"/>
        </w:rPr>
        <w:t xml:space="preserve">  </w:t>
      </w:r>
      <w:r>
        <w:rPr>
          <w:rFonts w:ascii="微软雅黑" w:hAnsi="微软雅黑" w:eastAsia="微软雅黑" w:cs="微软雅黑"/>
          <w:b/>
          <w:bCs/>
          <w:color w:val="32373F"/>
          <w:spacing w:val="3"/>
          <w:sz w:val="22"/>
          <w:szCs w:val="22"/>
        </w:rPr>
        <w:t>低温保持阶段</w:t>
      </w:r>
      <w:r>
        <w:rPr>
          <w:rFonts w:ascii="微软雅黑" w:hAnsi="微软雅黑" w:eastAsia="微软雅黑" w:cs="微软雅黑"/>
          <w:color w:val="32373F"/>
          <w:spacing w:val="3"/>
          <w:sz w:val="22"/>
          <w:szCs w:val="22"/>
        </w:rPr>
        <w:t>：评估低温稳定环境下的工作稳</w:t>
      </w:r>
      <w:r>
        <w:rPr>
          <w:rFonts w:ascii="微软雅黑" w:hAnsi="微软雅黑" w:eastAsia="微软雅黑" w:cs="微软雅黑"/>
          <w:color w:val="32373F"/>
          <w:spacing w:val="2"/>
          <w:sz w:val="22"/>
          <w:szCs w:val="22"/>
        </w:rPr>
        <w:t>定性；</w:t>
      </w:r>
    </w:p>
    <w:p w14:paraId="77A8174C">
      <w:pPr>
        <w:spacing w:before="156" w:line="187"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8"/>
          <w:sz w:val="22"/>
          <w:szCs w:val="22"/>
        </w:rPr>
        <w:t xml:space="preserve">  </w:t>
      </w:r>
      <w:r>
        <w:rPr>
          <w:rFonts w:ascii="微软雅黑" w:hAnsi="微软雅黑" w:eastAsia="微软雅黑" w:cs="微软雅黑"/>
          <w:b/>
          <w:bCs/>
          <w:color w:val="32373F"/>
          <w:spacing w:val="3"/>
          <w:sz w:val="22"/>
          <w:szCs w:val="22"/>
        </w:rPr>
        <w:t>升温或降温过渡阶段</w:t>
      </w:r>
      <w:r>
        <w:rPr>
          <w:rFonts w:ascii="微软雅黑" w:hAnsi="微软雅黑" w:eastAsia="微软雅黑" w:cs="微软雅黑"/>
          <w:color w:val="32373F"/>
          <w:spacing w:val="3"/>
          <w:sz w:val="22"/>
          <w:szCs w:val="22"/>
        </w:rPr>
        <w:t>：考察温度变化过程中各参数的响应特性；</w:t>
      </w:r>
    </w:p>
    <w:p w14:paraId="1908452A">
      <w:pPr>
        <w:spacing w:before="155" w:line="187" w:lineRule="auto"/>
        <w:ind w:left="150"/>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20"/>
          <w:w w:val="101"/>
          <w:sz w:val="22"/>
          <w:szCs w:val="22"/>
        </w:rPr>
        <w:t xml:space="preserve">  </w:t>
      </w:r>
      <w:r>
        <w:rPr>
          <w:rFonts w:ascii="微软雅黑" w:hAnsi="微软雅黑" w:eastAsia="微软雅黑" w:cs="微软雅黑"/>
          <w:b/>
          <w:bCs/>
          <w:color w:val="32373F"/>
          <w:spacing w:val="3"/>
          <w:sz w:val="22"/>
          <w:szCs w:val="22"/>
        </w:rPr>
        <w:t>试验后恢复室温阶段</w:t>
      </w:r>
      <w:r>
        <w:rPr>
          <w:rFonts w:ascii="微软雅黑" w:hAnsi="微软雅黑" w:eastAsia="微软雅黑" w:cs="微软雅黑"/>
          <w:color w:val="32373F"/>
          <w:spacing w:val="3"/>
          <w:sz w:val="22"/>
          <w:szCs w:val="22"/>
        </w:rPr>
        <w:t>：判断热真空试验是否导致不可恢复的性能变化。</w:t>
      </w:r>
    </w:p>
    <w:p w14:paraId="3896B87B">
      <w:pPr>
        <w:spacing w:before="219" w:line="235" w:lineRule="auto"/>
        <w:ind w:left="2" w:hanging="1"/>
        <w:jc w:val="both"/>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后续各项数据分析均以多阶段对比为基本原则，通过横向比较不同温度平台和真空状态下的测试结</w:t>
      </w:r>
      <w:r>
        <w:rPr>
          <w:rFonts w:ascii="微软雅黑" w:hAnsi="微软雅黑" w:eastAsia="微软雅黑" w:cs="微软雅黑"/>
          <w:color w:val="32373F"/>
          <w:spacing w:val="4"/>
          <w:sz w:val="22"/>
          <w:szCs w:val="22"/>
        </w:rPr>
        <w:t>果，以</w:t>
      </w:r>
      <w:r>
        <w:rPr>
          <w:rFonts w:ascii="微软雅黑" w:hAnsi="微软雅黑" w:eastAsia="微软雅黑" w:cs="微软雅黑"/>
          <w:color w:val="32373F"/>
          <w:spacing w:val="5"/>
          <w:sz w:val="22"/>
          <w:szCs w:val="22"/>
        </w:rPr>
        <w:t>及纵向追踪试验前后的参数变化，对载荷性能的稳定性和可恢复性作出全面、客观的评价，而</w:t>
      </w:r>
      <w:r>
        <w:rPr>
          <w:rFonts w:ascii="微软雅黑" w:hAnsi="微软雅黑" w:eastAsia="微软雅黑" w:cs="微软雅黑"/>
          <w:color w:val="32373F"/>
          <w:spacing w:val="4"/>
          <w:sz w:val="22"/>
          <w:szCs w:val="22"/>
        </w:rPr>
        <w:t>非仅对单一</w:t>
      </w:r>
      <w:r>
        <w:rPr>
          <w:rFonts w:ascii="微软雅黑" w:hAnsi="微软雅黑" w:eastAsia="微软雅黑" w:cs="微软雅黑"/>
          <w:color w:val="32373F"/>
          <w:spacing w:val="2"/>
          <w:sz w:val="22"/>
          <w:szCs w:val="22"/>
        </w:rPr>
        <w:t>温度点或单一阶段的结果进行孤立分析。</w:t>
      </w:r>
    </w:p>
    <w:p w14:paraId="3F3F6CB1">
      <w:pPr>
        <w:spacing w:before="206" w:line="30" w:lineRule="exact"/>
      </w:pPr>
      <w:r>
        <w:drawing>
          <wp:inline distT="0" distB="0" distL="0" distR="0">
            <wp:extent cx="6572250" cy="190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
                    <a:stretch>
                      <a:fillRect/>
                    </a:stretch>
                  </pic:blipFill>
                  <pic:spPr>
                    <a:xfrm>
                      <a:off x="0" y="0"/>
                      <a:ext cx="6572250" cy="19050"/>
                    </a:xfrm>
                    <a:prstGeom prst="rect">
                      <a:avLst/>
                    </a:prstGeom>
                  </pic:spPr>
                </pic:pic>
              </a:graphicData>
            </a:graphic>
          </wp:inline>
        </w:drawing>
      </w:r>
    </w:p>
    <w:p w14:paraId="42A8669D">
      <w:pPr>
        <w:pStyle w:val="2"/>
        <w:spacing w:before="247" w:line="184" w:lineRule="auto"/>
        <w:ind w:left="5"/>
        <w:outlineLvl w:val="1"/>
        <w:rPr>
          <w:rFonts w:ascii="微软雅黑" w:hAnsi="微软雅黑" w:eastAsia="微软雅黑" w:cs="微软雅黑"/>
          <w:sz w:val="29"/>
          <w:szCs w:val="29"/>
        </w:rPr>
      </w:pPr>
      <w:r>
        <w:rPr>
          <w:b/>
          <w:bCs/>
          <w:color w:val="32373F"/>
          <w:spacing w:val="1"/>
          <w:sz w:val="29"/>
          <w:szCs w:val="29"/>
        </w:rPr>
        <w:t xml:space="preserve">4. </w:t>
      </w:r>
      <w:r>
        <w:rPr>
          <w:rFonts w:ascii="微软雅黑" w:hAnsi="微软雅黑" w:eastAsia="微软雅黑" w:cs="微软雅黑"/>
          <w:b/>
          <w:bCs/>
          <w:color w:val="32373F"/>
          <w:spacing w:val="1"/>
          <w:sz w:val="29"/>
          <w:szCs w:val="29"/>
        </w:rPr>
        <w:t>遥测数据</w:t>
      </w:r>
    </w:p>
    <w:p w14:paraId="2E356254">
      <w:pPr>
        <w:pStyle w:val="2"/>
        <w:spacing w:before="232" w:line="239" w:lineRule="auto"/>
        <w:ind w:left="3" w:right="73" w:firstLine="4"/>
        <w:rPr>
          <w:rFonts w:ascii="微软雅黑" w:hAnsi="微软雅黑" w:eastAsia="微软雅黑" w:cs="微软雅黑"/>
        </w:rPr>
      </w:pPr>
      <w:r>
        <w:rPr>
          <w:rFonts w:ascii="微软雅黑" w:hAnsi="微软雅黑" w:eastAsia="微软雅黑" w:cs="微软雅黑"/>
          <w:color w:val="32373F"/>
          <w:spacing w:val="4"/>
        </w:rPr>
        <w:t xml:space="preserve">为全面评估 </w:t>
      </w:r>
      <w:r>
        <w:rPr>
          <w:color w:val="32373F"/>
        </w:rPr>
        <w:t>ECAL</w:t>
      </w:r>
      <w:r>
        <w:rPr>
          <w:color w:val="32373F"/>
          <w:spacing w:val="4"/>
        </w:rPr>
        <w:t>/</w:t>
      </w:r>
      <w:r>
        <w:rPr>
          <w:color w:val="32373F"/>
        </w:rPr>
        <w:t>Calo</w:t>
      </w:r>
      <w:r>
        <w:rPr>
          <w:color w:val="32373F"/>
          <w:spacing w:val="4"/>
        </w:rPr>
        <w:t xml:space="preserve"> </w:t>
      </w:r>
      <w:r>
        <w:rPr>
          <w:rFonts w:ascii="微软雅黑" w:hAnsi="微软雅黑" w:eastAsia="微软雅黑" w:cs="微软雅黑"/>
          <w:color w:val="32373F"/>
          <w:spacing w:val="4"/>
        </w:rPr>
        <w:t xml:space="preserve">载荷在热真空试验全程中的工作状态，对 </w:t>
      </w:r>
      <w:r>
        <w:rPr>
          <w:color w:val="32373F"/>
        </w:rPr>
        <w:t>FEE</w:t>
      </w:r>
      <w:r>
        <w:rPr>
          <w:color w:val="32373F"/>
          <w:spacing w:val="4"/>
        </w:rPr>
        <w:t>5–8</w:t>
      </w:r>
      <w:r>
        <w:rPr>
          <w:color w:val="32373F"/>
          <w:spacing w:val="39"/>
        </w:rPr>
        <w:t xml:space="preserve"> </w:t>
      </w:r>
      <w:r>
        <w:rPr>
          <w:rFonts w:ascii="微软雅黑" w:hAnsi="微软雅黑" w:eastAsia="微软雅黑" w:cs="微软雅黑"/>
          <w:color w:val="32373F"/>
          <w:spacing w:val="4"/>
        </w:rPr>
        <w:t>四块前端电子学板的电源电流</w:t>
      </w:r>
      <w:r>
        <w:rPr>
          <w:rFonts w:ascii="微软雅黑" w:hAnsi="微软雅黑" w:eastAsia="微软雅黑" w:cs="微软雅黑"/>
          <w:color w:val="32373F"/>
          <w:spacing w:val="1"/>
        </w:rPr>
        <w:t xml:space="preserve">及温度遥测数据进行了系统分析，监测时段覆盖 </w:t>
      </w:r>
      <w:r>
        <w:rPr>
          <w:color w:val="32373F"/>
          <w:spacing w:val="1"/>
        </w:rPr>
        <w:t xml:space="preserve">4 </w:t>
      </w:r>
      <w:r>
        <w:rPr>
          <w:rFonts w:ascii="微软雅黑" w:hAnsi="微软雅黑" w:eastAsia="微软雅黑" w:cs="微软雅黑"/>
          <w:color w:val="32373F"/>
          <w:spacing w:val="1"/>
        </w:rPr>
        <w:t xml:space="preserve">月 </w:t>
      </w:r>
      <w:r>
        <w:rPr>
          <w:color w:val="32373F"/>
          <w:spacing w:val="1"/>
        </w:rPr>
        <w:t>2</w:t>
      </w:r>
      <w:r>
        <w:rPr>
          <w:color w:val="32373F"/>
          <w:spacing w:val="53"/>
        </w:rPr>
        <w:t xml:space="preserve"> </w:t>
      </w:r>
      <w:r>
        <w:rPr>
          <w:rFonts w:ascii="微软雅黑" w:hAnsi="微软雅黑" w:eastAsia="微软雅黑" w:cs="微软雅黑"/>
          <w:color w:val="32373F"/>
          <w:spacing w:val="1"/>
        </w:rPr>
        <w:t xml:space="preserve">日至 </w:t>
      </w:r>
      <w:r>
        <w:rPr>
          <w:color w:val="32373F"/>
          <w:spacing w:val="1"/>
        </w:rPr>
        <w:t xml:space="preserve">4 </w:t>
      </w:r>
      <w:r>
        <w:rPr>
          <w:rFonts w:ascii="微软雅黑" w:hAnsi="微软雅黑" w:eastAsia="微软雅黑" w:cs="微软雅黑"/>
          <w:color w:val="32373F"/>
          <w:spacing w:val="1"/>
        </w:rPr>
        <w:t xml:space="preserve">月 </w:t>
      </w:r>
      <w:r>
        <w:rPr>
          <w:color w:val="32373F"/>
          <w:spacing w:val="1"/>
        </w:rPr>
        <w:t>7</w:t>
      </w:r>
      <w:r>
        <w:rPr>
          <w:color w:val="32373F"/>
          <w:spacing w:val="36"/>
        </w:rPr>
        <w:t xml:space="preserve"> </w:t>
      </w:r>
      <w:r>
        <w:rPr>
          <w:rFonts w:ascii="微软雅黑" w:hAnsi="微软雅黑" w:eastAsia="微软雅黑" w:cs="微软雅黑"/>
          <w:color w:val="32373F"/>
          <w:spacing w:val="1"/>
        </w:rPr>
        <w:t>日。</w:t>
      </w:r>
    </w:p>
    <w:p w14:paraId="3E7DAF41">
      <w:pPr>
        <w:pStyle w:val="2"/>
        <w:spacing w:before="308" w:line="187" w:lineRule="auto"/>
        <w:ind w:left="4"/>
        <w:outlineLvl w:val="2"/>
        <w:rPr>
          <w:rFonts w:ascii="微软雅黑" w:hAnsi="微软雅黑" w:eastAsia="微软雅黑" w:cs="微软雅黑"/>
          <w:sz w:val="24"/>
          <w:szCs w:val="24"/>
        </w:rPr>
      </w:pPr>
      <w:r>
        <w:rPr>
          <w:b/>
          <w:bCs/>
          <w:color w:val="32373F"/>
          <w:spacing w:val="5"/>
          <w:sz w:val="24"/>
          <w:szCs w:val="24"/>
        </w:rPr>
        <w:t xml:space="preserve">4.1 </w:t>
      </w:r>
      <w:r>
        <w:rPr>
          <w:rFonts w:ascii="微软雅黑" w:hAnsi="微软雅黑" w:eastAsia="微软雅黑" w:cs="微软雅黑"/>
          <w:b/>
          <w:bCs/>
          <w:color w:val="32373F"/>
          <w:spacing w:val="5"/>
          <w:sz w:val="24"/>
          <w:szCs w:val="24"/>
        </w:rPr>
        <w:t>电源电流监测</w:t>
      </w:r>
    </w:p>
    <w:p w14:paraId="4B308FC2">
      <w:pPr>
        <w:spacing w:before="159" w:line="4980" w:lineRule="exact"/>
      </w:pPr>
      <w:r>
        <w:rPr>
          <w:position w:val="-99"/>
        </w:rPr>
        <w:drawing>
          <wp:inline distT="0" distB="0" distL="0" distR="0">
            <wp:extent cx="6572250" cy="31623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6572250" cy="3162300"/>
                    </a:xfrm>
                    <a:prstGeom prst="rect">
                      <a:avLst/>
                    </a:prstGeom>
                  </pic:spPr>
                </pic:pic>
              </a:graphicData>
            </a:graphic>
          </wp:inline>
        </w:drawing>
      </w:r>
    </w:p>
    <w:p w14:paraId="235B8466">
      <w:pPr>
        <w:spacing w:line="4980" w:lineRule="exact"/>
        <w:sectPr>
          <w:pgSz w:w="11919" w:h="16858"/>
          <w:pgMar w:top="581" w:right="783" w:bottom="0" w:left="785" w:header="0" w:footer="0" w:gutter="0"/>
          <w:cols w:space="720" w:num="1"/>
        </w:sectPr>
      </w:pPr>
    </w:p>
    <w:p w14:paraId="6B985047">
      <w:pPr>
        <w:spacing w:before="60" w:line="233" w:lineRule="auto"/>
        <w:ind w:left="2" w:right="598"/>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 xml:space="preserve">该图给出了热真空试验期间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5"/>
          <w:sz w:val="22"/>
          <w:szCs w:val="22"/>
        </w:rPr>
        <w:t>5–8</w:t>
      </w:r>
      <w:r>
        <w:rPr>
          <w:rFonts w:ascii="微软雅黑" w:hAnsi="微软雅黑" w:eastAsia="微软雅黑" w:cs="微软雅黑"/>
          <w:color w:val="32373F"/>
          <w:spacing w:val="18"/>
          <w:w w:val="101"/>
          <w:sz w:val="22"/>
          <w:szCs w:val="22"/>
        </w:rPr>
        <w:t xml:space="preserve"> </w:t>
      </w:r>
      <w:r>
        <w:rPr>
          <w:rFonts w:ascii="微软雅黑" w:hAnsi="微软雅黑" w:eastAsia="微软雅黑" w:cs="微软雅黑"/>
          <w:color w:val="32373F"/>
          <w:spacing w:val="5"/>
          <w:sz w:val="22"/>
          <w:szCs w:val="22"/>
        </w:rPr>
        <w:t>四块前端电子学板的电源电流遥测结果，左图为 C</w:t>
      </w:r>
      <w:r>
        <w:rPr>
          <w:rFonts w:ascii="微软雅黑" w:hAnsi="微软雅黑" w:eastAsia="微软雅黑" w:cs="微软雅黑"/>
          <w:color w:val="32373F"/>
          <w:spacing w:val="4"/>
          <w:sz w:val="22"/>
          <w:szCs w:val="22"/>
        </w:rPr>
        <w:t>0（1.8 V 电</w:t>
      </w:r>
      <w:r>
        <w:rPr>
          <w:rFonts w:ascii="微软雅黑" w:hAnsi="微软雅黑" w:eastAsia="微软雅黑" w:cs="微软雅黑"/>
          <w:color w:val="32373F"/>
          <w:spacing w:val="-2"/>
          <w:sz w:val="22"/>
          <w:szCs w:val="22"/>
        </w:rPr>
        <w:t>流</w:t>
      </w:r>
      <w:r>
        <w:rPr>
          <w:rFonts w:ascii="微软雅黑" w:hAnsi="微软雅黑" w:eastAsia="微软雅黑" w:cs="微软雅黑"/>
          <w:color w:val="32373F"/>
          <w:spacing w:val="5"/>
          <w:sz w:val="22"/>
          <w:szCs w:val="22"/>
        </w:rPr>
        <w:t>），</w:t>
      </w:r>
      <w:r>
        <w:rPr>
          <w:rFonts w:ascii="微软雅黑" w:hAnsi="微软雅黑" w:eastAsia="微软雅黑" w:cs="微软雅黑"/>
          <w:color w:val="32373F"/>
          <w:spacing w:val="-2"/>
          <w:sz w:val="22"/>
          <w:szCs w:val="22"/>
        </w:rPr>
        <w:t>右图为 C1</w:t>
      </w:r>
      <w:r>
        <w:rPr>
          <w:rFonts w:ascii="微软雅黑" w:hAnsi="微软雅黑" w:eastAsia="微软雅黑" w:cs="微软雅黑"/>
          <w:color w:val="32373F"/>
          <w:spacing w:val="8"/>
          <w:sz w:val="22"/>
          <w:szCs w:val="22"/>
        </w:rPr>
        <w:t xml:space="preserve">  </w:t>
      </w:r>
      <w:r>
        <w:rPr>
          <w:rFonts w:ascii="微软雅黑" w:hAnsi="微软雅黑" w:eastAsia="微软雅黑" w:cs="微软雅黑"/>
          <w:color w:val="32373F"/>
          <w:spacing w:val="-2"/>
          <w:sz w:val="22"/>
          <w:szCs w:val="22"/>
        </w:rPr>
        <w:t>(±5 V 电流）。</w:t>
      </w:r>
    </w:p>
    <w:p w14:paraId="7E4E8007">
      <w:pPr>
        <w:pStyle w:val="2"/>
        <w:spacing w:before="283" w:line="229" w:lineRule="auto"/>
        <w:ind w:left="10"/>
        <w:outlineLvl w:val="2"/>
        <w:rPr>
          <w:rFonts w:ascii="微软雅黑" w:hAnsi="微软雅黑" w:eastAsia="微软雅黑" w:cs="微软雅黑"/>
        </w:rPr>
      </w:pPr>
      <w:r>
        <w:rPr>
          <w:b/>
          <w:bCs/>
          <w:color w:val="32373F"/>
          <w:spacing w:val="-1"/>
        </w:rPr>
        <w:t>C0</w:t>
      </w:r>
      <w:r>
        <w:rPr>
          <w:rFonts w:ascii="微软雅黑" w:hAnsi="微软雅黑" w:eastAsia="微软雅黑" w:cs="微软雅黑"/>
          <w:b/>
          <w:bCs/>
          <w:color w:val="32373F"/>
          <w:spacing w:val="-1"/>
        </w:rPr>
        <w:t>（</w:t>
      </w:r>
      <w:r>
        <w:rPr>
          <w:b/>
          <w:bCs/>
          <w:color w:val="32373F"/>
          <w:spacing w:val="-1"/>
        </w:rPr>
        <w:t>1.8 V</w:t>
      </w:r>
      <w:r>
        <w:rPr>
          <w:b/>
          <w:bCs/>
          <w:color w:val="32373F"/>
          <w:spacing w:val="16"/>
        </w:rPr>
        <w:t xml:space="preserve"> </w:t>
      </w:r>
      <w:r>
        <w:rPr>
          <w:rFonts w:ascii="微软雅黑" w:hAnsi="微软雅黑" w:eastAsia="微软雅黑" w:cs="微软雅黑"/>
          <w:b/>
          <w:bCs/>
          <w:color w:val="32373F"/>
          <w:spacing w:val="-1"/>
        </w:rPr>
        <w:t>电流）</w:t>
      </w:r>
    </w:p>
    <w:p w14:paraId="3753FA13">
      <w:pPr>
        <w:spacing w:before="3" w:line="229" w:lineRule="auto"/>
        <w:ind w:left="20"/>
        <w:rPr>
          <w:rFonts w:ascii="微软雅黑" w:hAnsi="微软雅黑" w:eastAsia="微软雅黑" w:cs="微软雅黑"/>
          <w:sz w:val="22"/>
          <w:szCs w:val="22"/>
        </w:rPr>
      </w:pPr>
      <w:r>
        <w:rPr>
          <w:rFonts w:ascii="微软雅黑" w:hAnsi="微软雅黑" w:eastAsia="微软雅黑" w:cs="微软雅黑"/>
          <w:color w:val="32373F"/>
          <w:spacing w:val="1"/>
          <w:sz w:val="22"/>
          <w:szCs w:val="22"/>
        </w:rPr>
        <w:t>四块板卡的 C0 电流在整个监测期间均保持在约</w:t>
      </w:r>
      <w:r>
        <w:rPr>
          <w:rFonts w:ascii="微软雅黑" w:hAnsi="微软雅黑" w:eastAsia="微软雅黑" w:cs="微软雅黑"/>
          <w:color w:val="32373F"/>
          <w:spacing w:val="22"/>
          <w:sz w:val="22"/>
          <w:szCs w:val="22"/>
        </w:rPr>
        <w:t xml:space="preserve"> </w:t>
      </w:r>
      <w:r>
        <w:rPr>
          <w:rFonts w:ascii="微软雅黑" w:hAnsi="微软雅黑" w:eastAsia="微软雅黑" w:cs="微软雅黑"/>
          <w:color w:val="32373F"/>
          <w:spacing w:val="1"/>
          <w:sz w:val="22"/>
          <w:szCs w:val="22"/>
        </w:rPr>
        <w:t>10</w:t>
      </w:r>
      <w:r>
        <w:rPr>
          <w:rFonts w:ascii="微软雅黑" w:hAnsi="微软雅黑" w:eastAsia="微软雅黑" w:cs="微软雅黑"/>
          <w:color w:val="32373F"/>
          <w:sz w:val="22"/>
          <w:szCs w:val="22"/>
        </w:rPr>
        <w:t>80–1260 mA 范围内，各板卡电流水平略有差异：</w:t>
      </w:r>
    </w:p>
    <w:p w14:paraId="2E8C224C">
      <w:pPr>
        <w:spacing w:before="1" w:line="228" w:lineRule="auto"/>
        <w:ind w:left="18"/>
        <w:rPr>
          <w:rFonts w:ascii="微软雅黑" w:hAnsi="微软雅黑" w:eastAsia="微软雅黑" w:cs="微软雅黑"/>
          <w:sz w:val="22"/>
          <w:szCs w:val="22"/>
        </w:rPr>
      </w:pPr>
      <w:r>
        <w:rPr>
          <w:rFonts w:ascii="微软雅黑" w:hAnsi="微软雅黑" w:eastAsia="微软雅黑" w:cs="微软雅黑"/>
          <w:color w:val="32373F"/>
          <w:sz w:val="22"/>
          <w:szCs w:val="22"/>
        </w:rPr>
        <w:t>FEE</w:t>
      </w:r>
      <w:r>
        <w:rPr>
          <w:rFonts w:ascii="微软雅黑" w:hAnsi="微软雅黑" w:eastAsia="微软雅黑" w:cs="微软雅黑"/>
          <w:color w:val="32373F"/>
          <w:spacing w:val="1"/>
          <w:sz w:val="22"/>
          <w:szCs w:val="22"/>
        </w:rPr>
        <w:t>7</w:t>
      </w:r>
      <w:r>
        <w:rPr>
          <w:rFonts w:ascii="微软雅黑" w:hAnsi="微软雅黑" w:eastAsia="微软雅黑" w:cs="微软雅黑"/>
          <w:color w:val="32373F"/>
          <w:spacing w:val="-19"/>
          <w:sz w:val="22"/>
          <w:szCs w:val="22"/>
        </w:rPr>
        <w:t xml:space="preserve"> </w:t>
      </w:r>
      <w:r>
        <w:rPr>
          <w:rFonts w:ascii="微软雅黑" w:hAnsi="微软雅黑" w:eastAsia="微软雅黑" w:cs="微软雅黑"/>
          <w:color w:val="32373F"/>
          <w:spacing w:val="1"/>
          <w:sz w:val="22"/>
          <w:szCs w:val="22"/>
        </w:rPr>
        <w:t>（绿色）整体最高，约为</w:t>
      </w:r>
      <w:r>
        <w:rPr>
          <w:rFonts w:ascii="微软雅黑" w:hAnsi="微软雅黑" w:eastAsia="微软雅黑" w:cs="微软雅黑"/>
          <w:color w:val="32373F"/>
          <w:spacing w:val="40"/>
          <w:sz w:val="22"/>
          <w:szCs w:val="22"/>
        </w:rPr>
        <w:t xml:space="preserve"> </w:t>
      </w:r>
      <w:r>
        <w:rPr>
          <w:rFonts w:ascii="微软雅黑" w:hAnsi="微软雅黑" w:eastAsia="微软雅黑" w:cs="微软雅黑"/>
          <w:color w:val="32373F"/>
          <w:spacing w:val="1"/>
          <w:sz w:val="22"/>
          <w:szCs w:val="22"/>
        </w:rPr>
        <w:t xml:space="preserve">1200–1260 </w:t>
      </w:r>
      <w:r>
        <w:rPr>
          <w:rFonts w:ascii="微软雅黑" w:hAnsi="微软雅黑" w:eastAsia="微软雅黑" w:cs="微软雅黑"/>
          <w:color w:val="32373F"/>
          <w:sz w:val="22"/>
          <w:szCs w:val="22"/>
        </w:rPr>
        <w:t>mA</w:t>
      </w:r>
      <w:r>
        <w:rPr>
          <w:rFonts w:ascii="微软雅黑" w:hAnsi="微软雅黑" w:eastAsia="微软雅黑" w:cs="微软雅黑"/>
          <w:color w:val="32373F"/>
          <w:spacing w:val="1"/>
          <w:sz w:val="22"/>
          <w:szCs w:val="22"/>
        </w:rPr>
        <w:t>；</w:t>
      </w:r>
      <w:r>
        <w:rPr>
          <w:rFonts w:ascii="微软雅黑" w:hAnsi="微软雅黑" w:eastAsia="微软雅黑" w:cs="微软雅黑"/>
          <w:color w:val="32373F"/>
          <w:spacing w:val="-41"/>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1"/>
          <w:sz w:val="22"/>
          <w:szCs w:val="22"/>
        </w:rPr>
        <w:t>5（红色）和</w:t>
      </w:r>
      <w:r>
        <w:rPr>
          <w:rFonts w:ascii="微软雅黑" w:hAnsi="微软雅黑" w:eastAsia="微软雅黑" w:cs="微软雅黑"/>
          <w:color w:val="32373F"/>
          <w:spacing w:val="28"/>
          <w:w w:val="101"/>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1"/>
          <w:sz w:val="22"/>
          <w:szCs w:val="22"/>
        </w:rPr>
        <w:t>6</w:t>
      </w:r>
      <w:r>
        <w:rPr>
          <w:rFonts w:ascii="微软雅黑" w:hAnsi="微软雅黑" w:eastAsia="微软雅黑" w:cs="微软雅黑"/>
          <w:color w:val="32373F"/>
          <w:spacing w:val="-37"/>
          <w:sz w:val="22"/>
          <w:szCs w:val="22"/>
        </w:rPr>
        <w:t xml:space="preserve"> </w:t>
      </w:r>
      <w:r>
        <w:rPr>
          <w:rFonts w:ascii="微软雅黑" w:hAnsi="微软雅黑" w:eastAsia="微软雅黑" w:cs="微软雅黑"/>
          <w:color w:val="32373F"/>
          <w:spacing w:val="1"/>
          <w:sz w:val="22"/>
          <w:szCs w:val="22"/>
        </w:rPr>
        <w:t>（蓝色）次之，约为</w:t>
      </w:r>
      <w:r>
        <w:rPr>
          <w:rFonts w:ascii="微软雅黑" w:hAnsi="微软雅黑" w:eastAsia="微软雅黑" w:cs="微软雅黑"/>
          <w:color w:val="32373F"/>
          <w:spacing w:val="39"/>
          <w:w w:val="101"/>
          <w:sz w:val="22"/>
          <w:szCs w:val="22"/>
        </w:rPr>
        <w:t xml:space="preserve"> </w:t>
      </w:r>
      <w:r>
        <w:rPr>
          <w:rFonts w:ascii="微软雅黑" w:hAnsi="微软雅黑" w:eastAsia="微软雅黑" w:cs="微软雅黑"/>
          <w:color w:val="32373F"/>
          <w:spacing w:val="1"/>
          <w:sz w:val="22"/>
          <w:szCs w:val="22"/>
        </w:rPr>
        <w:t>1160–</w:t>
      </w:r>
    </w:p>
    <w:p w14:paraId="4F364F71">
      <w:pPr>
        <w:spacing w:before="1" w:line="231" w:lineRule="auto"/>
        <w:ind w:right="1" w:firstLine="23"/>
        <w:rPr>
          <w:rFonts w:ascii="微软雅黑" w:hAnsi="微软雅黑" w:eastAsia="微软雅黑" w:cs="微软雅黑"/>
          <w:sz w:val="22"/>
          <w:szCs w:val="22"/>
        </w:rPr>
      </w:pPr>
      <w:r>
        <w:rPr>
          <w:rFonts w:ascii="微软雅黑" w:hAnsi="微软雅黑" w:eastAsia="微软雅黑" w:cs="微软雅黑"/>
          <w:color w:val="32373F"/>
          <w:sz w:val="22"/>
          <w:szCs w:val="22"/>
        </w:rPr>
        <w:t>1220 mA；</w:t>
      </w:r>
      <w:r>
        <w:rPr>
          <w:rFonts w:ascii="微软雅黑" w:hAnsi="微软雅黑" w:eastAsia="微软雅黑" w:cs="微软雅黑"/>
          <w:color w:val="32373F"/>
          <w:spacing w:val="-37"/>
          <w:sz w:val="22"/>
          <w:szCs w:val="22"/>
        </w:rPr>
        <w:t xml:space="preserve"> </w:t>
      </w:r>
      <w:r>
        <w:rPr>
          <w:rFonts w:ascii="微软雅黑" w:hAnsi="微软雅黑" w:eastAsia="微软雅黑" w:cs="微软雅黑"/>
          <w:color w:val="32373F"/>
          <w:sz w:val="22"/>
          <w:szCs w:val="22"/>
        </w:rPr>
        <w:t>FEE8</w:t>
      </w:r>
      <w:r>
        <w:rPr>
          <w:rFonts w:ascii="微软雅黑" w:hAnsi="微软雅黑" w:eastAsia="微软雅黑" w:cs="微软雅黑"/>
          <w:color w:val="32373F"/>
          <w:spacing w:val="-22"/>
          <w:sz w:val="22"/>
          <w:szCs w:val="22"/>
        </w:rPr>
        <w:t xml:space="preserve"> </w:t>
      </w:r>
      <w:r>
        <w:rPr>
          <w:rFonts w:ascii="微软雅黑" w:hAnsi="微软雅黑" w:eastAsia="微软雅黑" w:cs="微软雅黑"/>
          <w:color w:val="32373F"/>
          <w:sz w:val="22"/>
          <w:szCs w:val="22"/>
        </w:rPr>
        <w:t>（品红色）整体最低，约为</w:t>
      </w:r>
      <w:r>
        <w:rPr>
          <w:rFonts w:ascii="微软雅黑" w:hAnsi="微软雅黑" w:eastAsia="微软雅黑" w:cs="微软雅黑"/>
          <w:color w:val="32373F"/>
          <w:spacing w:val="39"/>
          <w:sz w:val="22"/>
          <w:szCs w:val="22"/>
        </w:rPr>
        <w:t xml:space="preserve"> </w:t>
      </w:r>
      <w:r>
        <w:rPr>
          <w:rFonts w:ascii="微软雅黑" w:hAnsi="微软雅黑" w:eastAsia="微软雅黑" w:cs="微软雅黑"/>
          <w:color w:val="32373F"/>
          <w:sz w:val="22"/>
          <w:szCs w:val="22"/>
        </w:rPr>
        <w:t>1080–1200 mA。各板卡 C0 电流随时间呈现出清晰的周期</w:t>
      </w:r>
      <w:r>
        <w:rPr>
          <w:rFonts w:ascii="微软雅黑" w:hAnsi="微软雅黑" w:eastAsia="微软雅黑" w:cs="微软雅黑"/>
          <w:color w:val="32373F"/>
          <w:spacing w:val="1"/>
          <w:sz w:val="22"/>
          <w:szCs w:val="22"/>
        </w:rPr>
        <w:t xml:space="preserve">性波动，波动幅度约为 ±40–80 </w:t>
      </w:r>
      <w:r>
        <w:rPr>
          <w:rFonts w:ascii="微软雅黑" w:hAnsi="微软雅黑" w:eastAsia="微软雅黑" w:cs="微软雅黑"/>
          <w:color w:val="32373F"/>
          <w:sz w:val="22"/>
          <w:szCs w:val="22"/>
        </w:rPr>
        <w:t>mA</w:t>
      </w:r>
      <w:r>
        <w:rPr>
          <w:rFonts w:ascii="微软雅黑" w:hAnsi="微软雅黑" w:eastAsia="微软雅黑" w:cs="微软雅黑"/>
          <w:color w:val="32373F"/>
          <w:spacing w:val="1"/>
          <w:sz w:val="22"/>
          <w:szCs w:val="22"/>
        </w:rPr>
        <w:t>，与热真空试验温度剖面的周期性升降温过程高度同步，反映了</w:t>
      </w:r>
      <w:r>
        <w:rPr>
          <w:rFonts w:ascii="微软雅黑" w:hAnsi="微软雅黑" w:eastAsia="微软雅黑" w:cs="微软雅黑"/>
          <w:color w:val="32373F"/>
          <w:spacing w:val="56"/>
          <w:w w:val="101"/>
          <w:sz w:val="22"/>
          <w:szCs w:val="22"/>
        </w:rPr>
        <w:t xml:space="preserve"> </w:t>
      </w:r>
      <w:r>
        <w:rPr>
          <w:rFonts w:ascii="微软雅黑" w:hAnsi="微软雅黑" w:eastAsia="微软雅黑" w:cs="微软雅黑"/>
          <w:color w:val="32373F"/>
          <w:spacing w:val="1"/>
          <w:sz w:val="22"/>
          <w:szCs w:val="22"/>
        </w:rPr>
        <w:t>1.8 V</w:t>
      </w:r>
      <w:r>
        <w:rPr>
          <w:rFonts w:ascii="微软雅黑" w:hAnsi="微软雅黑" w:eastAsia="微软雅黑" w:cs="微软雅黑"/>
          <w:color w:val="32373F"/>
          <w:spacing w:val="2"/>
          <w:sz w:val="22"/>
          <w:szCs w:val="22"/>
        </w:rPr>
        <w:t>供电链路功耗随温度变化的正常响应特性。</w:t>
      </w:r>
    </w:p>
    <w:p w14:paraId="21D270DA">
      <w:pPr>
        <w:pStyle w:val="2"/>
        <w:spacing w:line="247" w:lineRule="auto"/>
        <w:rPr>
          <w:sz w:val="21"/>
        </w:rPr>
      </w:pPr>
    </w:p>
    <w:p w14:paraId="6C42FC3A">
      <w:pPr>
        <w:spacing w:before="95" w:line="188" w:lineRule="auto"/>
        <w:rPr>
          <w:rFonts w:ascii="微软雅黑" w:hAnsi="微软雅黑" w:eastAsia="微软雅黑" w:cs="微软雅黑"/>
          <w:sz w:val="22"/>
          <w:szCs w:val="22"/>
        </w:rPr>
      </w:pPr>
      <w:r>
        <w:rPr>
          <w:rFonts w:ascii="微软雅黑" w:hAnsi="微软雅黑" w:eastAsia="微软雅黑" w:cs="微软雅黑"/>
          <w:color w:val="32373F"/>
          <w:spacing w:val="4"/>
          <w:sz w:val="22"/>
          <w:szCs w:val="22"/>
        </w:rPr>
        <w:t>整个监测期间各板卡 C0 电流未出现阶跃式突变或单次</w:t>
      </w:r>
      <w:r>
        <w:rPr>
          <w:rFonts w:ascii="微软雅黑" w:hAnsi="微软雅黑" w:eastAsia="微软雅黑" w:cs="微软雅黑"/>
          <w:color w:val="32373F"/>
          <w:spacing w:val="3"/>
          <w:sz w:val="22"/>
          <w:szCs w:val="22"/>
        </w:rPr>
        <w:t>异常尖峰，供电链路工作状态持续稳定。</w:t>
      </w:r>
    </w:p>
    <w:p w14:paraId="7651DF4E">
      <w:pPr>
        <w:pStyle w:val="2"/>
        <w:spacing w:before="320" w:line="229" w:lineRule="auto"/>
        <w:ind w:left="10"/>
        <w:rPr>
          <w:rFonts w:ascii="微软雅黑" w:hAnsi="微软雅黑" w:eastAsia="微软雅黑" w:cs="微软雅黑"/>
        </w:rPr>
      </w:pPr>
      <w:r>
        <w:rPr>
          <w:b/>
          <w:bCs/>
          <w:color w:val="32373F"/>
          <w:spacing w:val="-2"/>
        </w:rPr>
        <w:t>C1</w:t>
      </w:r>
      <w:r>
        <w:rPr>
          <w:b/>
          <w:bCs/>
          <w:color w:val="32373F"/>
          <w:spacing w:val="10"/>
        </w:rPr>
        <w:t xml:space="preserve">  </w:t>
      </w:r>
      <w:r>
        <w:rPr>
          <w:rFonts w:ascii="微软雅黑" w:hAnsi="微软雅黑" w:eastAsia="微软雅黑" w:cs="微软雅黑"/>
          <w:b/>
          <w:bCs/>
          <w:color w:val="32373F"/>
          <w:spacing w:val="-2"/>
        </w:rPr>
        <w:t>(</w:t>
      </w:r>
      <w:r>
        <w:rPr>
          <w:b/>
          <w:bCs/>
          <w:color w:val="32373F"/>
          <w:spacing w:val="-2"/>
        </w:rPr>
        <w:t>±5 V</w:t>
      </w:r>
      <w:r>
        <w:rPr>
          <w:b/>
          <w:bCs/>
          <w:color w:val="32373F"/>
          <w:spacing w:val="16"/>
        </w:rPr>
        <w:t xml:space="preserve"> </w:t>
      </w:r>
      <w:r>
        <w:rPr>
          <w:rFonts w:ascii="微软雅黑" w:hAnsi="微软雅黑" w:eastAsia="微软雅黑" w:cs="微软雅黑"/>
          <w:b/>
          <w:bCs/>
          <w:color w:val="32373F"/>
          <w:spacing w:val="-2"/>
        </w:rPr>
        <w:t>电流）</w:t>
      </w:r>
    </w:p>
    <w:p w14:paraId="6655D13E">
      <w:pPr>
        <w:spacing w:before="4" w:line="229" w:lineRule="auto"/>
        <w:ind w:left="11"/>
        <w:rPr>
          <w:rFonts w:ascii="微软雅黑" w:hAnsi="微软雅黑" w:eastAsia="微软雅黑" w:cs="微软雅黑"/>
          <w:sz w:val="22"/>
          <w:szCs w:val="22"/>
        </w:rPr>
      </w:pPr>
      <w:r>
        <w:rPr>
          <w:rFonts w:ascii="微软雅黑" w:hAnsi="微软雅黑" w:eastAsia="微软雅黑" w:cs="微软雅黑"/>
          <w:color w:val="32373F"/>
          <w:spacing w:val="2"/>
          <w:sz w:val="22"/>
          <w:szCs w:val="22"/>
        </w:rPr>
        <w:t>C1 电流的量程和特性与 C0 差异显著。</w:t>
      </w:r>
      <w:r>
        <w:rPr>
          <w:rFonts w:ascii="微软雅黑" w:hAnsi="微软雅黑" w:eastAsia="微软雅黑" w:cs="微软雅黑"/>
          <w:color w:val="32373F"/>
          <w:spacing w:val="-8"/>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2"/>
          <w:sz w:val="22"/>
          <w:szCs w:val="22"/>
        </w:rPr>
        <w:t>6</w:t>
      </w:r>
      <w:r>
        <w:rPr>
          <w:rFonts w:ascii="微软雅黑" w:hAnsi="微软雅黑" w:eastAsia="微软雅黑" w:cs="微软雅黑"/>
          <w:color w:val="32373F"/>
          <w:spacing w:val="-27"/>
          <w:sz w:val="22"/>
          <w:szCs w:val="22"/>
        </w:rPr>
        <w:t xml:space="preserve"> </w:t>
      </w:r>
      <w:r>
        <w:rPr>
          <w:rFonts w:ascii="微软雅黑" w:hAnsi="微软雅黑" w:eastAsia="微软雅黑" w:cs="微软雅黑"/>
          <w:color w:val="32373F"/>
          <w:spacing w:val="2"/>
          <w:sz w:val="22"/>
          <w:szCs w:val="22"/>
        </w:rPr>
        <w:t xml:space="preserve">（蓝色）对应备份 +5 V 电流，稳定在约425–430 </w:t>
      </w:r>
      <w:r>
        <w:rPr>
          <w:rFonts w:ascii="微软雅黑" w:hAnsi="微软雅黑" w:eastAsia="微软雅黑" w:cs="微软雅黑"/>
          <w:color w:val="32373F"/>
          <w:sz w:val="22"/>
          <w:szCs w:val="22"/>
        </w:rPr>
        <w:t>mA</w:t>
      </w:r>
      <w:r>
        <w:rPr>
          <w:rFonts w:ascii="微软雅黑" w:hAnsi="微软雅黑" w:eastAsia="微软雅黑" w:cs="微软雅黑"/>
          <w:color w:val="32373F"/>
          <w:spacing w:val="2"/>
          <w:sz w:val="22"/>
          <w:szCs w:val="22"/>
        </w:rPr>
        <w:t>；</w:t>
      </w:r>
    </w:p>
    <w:p w14:paraId="2DAE0FAC">
      <w:pPr>
        <w:spacing w:before="6" w:line="233" w:lineRule="auto"/>
        <w:ind w:left="2" w:right="79" w:firstLine="15"/>
        <w:rPr>
          <w:rFonts w:ascii="微软雅黑" w:hAnsi="微软雅黑" w:eastAsia="微软雅黑" w:cs="微软雅黑"/>
          <w:sz w:val="22"/>
          <w:szCs w:val="22"/>
        </w:rPr>
      </w:pPr>
      <w:r>
        <w:rPr>
          <w:rFonts w:ascii="微软雅黑" w:hAnsi="微软雅黑" w:eastAsia="微软雅黑" w:cs="微软雅黑"/>
          <w:color w:val="32373F"/>
          <w:sz w:val="22"/>
          <w:szCs w:val="22"/>
        </w:rPr>
        <w:t>FEE</w:t>
      </w:r>
      <w:r>
        <w:rPr>
          <w:rFonts w:ascii="微软雅黑" w:hAnsi="微软雅黑" w:eastAsia="微软雅黑" w:cs="微软雅黑"/>
          <w:color w:val="32373F"/>
          <w:spacing w:val="5"/>
          <w:sz w:val="22"/>
          <w:szCs w:val="22"/>
        </w:rPr>
        <w:t>8</w:t>
      </w:r>
      <w:r>
        <w:rPr>
          <w:rFonts w:ascii="微软雅黑" w:hAnsi="微软雅黑" w:eastAsia="微软雅黑" w:cs="微软雅黑"/>
          <w:color w:val="32373F"/>
          <w:spacing w:val="-22"/>
          <w:sz w:val="22"/>
          <w:szCs w:val="22"/>
        </w:rPr>
        <w:t xml:space="preserve"> </w:t>
      </w:r>
      <w:r>
        <w:rPr>
          <w:rFonts w:ascii="微软雅黑" w:hAnsi="微软雅黑" w:eastAsia="微软雅黑" w:cs="微软雅黑"/>
          <w:color w:val="32373F"/>
          <w:spacing w:val="5"/>
          <w:sz w:val="22"/>
          <w:szCs w:val="22"/>
        </w:rPr>
        <w:t xml:space="preserve">（品红色）对应备份 一5 V 电流，稳定在约 95–100 </w:t>
      </w:r>
      <w:r>
        <w:rPr>
          <w:rFonts w:ascii="微软雅黑" w:hAnsi="微软雅黑" w:eastAsia="微软雅黑" w:cs="微软雅黑"/>
          <w:color w:val="32373F"/>
          <w:sz w:val="22"/>
          <w:szCs w:val="22"/>
        </w:rPr>
        <w:t>mA</w:t>
      </w:r>
      <w:r>
        <w:rPr>
          <w:rFonts w:ascii="微软雅黑" w:hAnsi="微软雅黑" w:eastAsia="微软雅黑" w:cs="微软雅黑"/>
          <w:color w:val="32373F"/>
          <w:spacing w:val="5"/>
          <w:sz w:val="22"/>
          <w:szCs w:val="22"/>
        </w:rPr>
        <w:t>；</w:t>
      </w:r>
      <w:r>
        <w:rPr>
          <w:rFonts w:ascii="微软雅黑" w:hAnsi="微软雅黑" w:eastAsia="微软雅黑" w:cs="微软雅黑"/>
          <w:color w:val="32373F"/>
          <w:spacing w:val="-41"/>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4"/>
          <w:sz w:val="22"/>
          <w:szCs w:val="22"/>
        </w:rPr>
        <w:t xml:space="preserve">5 和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4"/>
          <w:sz w:val="22"/>
          <w:szCs w:val="22"/>
        </w:rPr>
        <w:t>7 的数据点与</w:t>
      </w:r>
      <w:r>
        <w:rPr>
          <w:rFonts w:ascii="微软雅黑" w:hAnsi="微软雅黑" w:eastAsia="微软雅黑" w:cs="微软雅黑"/>
          <w:color w:val="32373F"/>
          <w:spacing w:val="15"/>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4"/>
          <w:sz w:val="22"/>
          <w:szCs w:val="22"/>
        </w:rPr>
        <w:t>6、</w:t>
      </w:r>
      <w:r>
        <w:rPr>
          <w:rFonts w:ascii="微软雅黑" w:hAnsi="微软雅黑" w:eastAsia="微软雅黑" w:cs="微软雅黑"/>
          <w:color w:val="32373F"/>
          <w:spacing w:val="-40"/>
          <w:sz w:val="22"/>
          <w:szCs w:val="22"/>
        </w:rPr>
        <w:t xml:space="preserve"> </w:t>
      </w:r>
      <w:r>
        <w:rPr>
          <w:rFonts w:ascii="微软雅黑" w:hAnsi="微软雅黑" w:eastAsia="微软雅黑" w:cs="微软雅黑"/>
          <w:color w:val="32373F"/>
          <w:sz w:val="22"/>
          <w:szCs w:val="22"/>
        </w:rPr>
        <w:t>FEE</w:t>
      </w:r>
      <w:r>
        <w:rPr>
          <w:rFonts w:ascii="微软雅黑" w:hAnsi="微软雅黑" w:eastAsia="微软雅黑" w:cs="微软雅黑"/>
          <w:color w:val="32373F"/>
          <w:spacing w:val="4"/>
          <w:sz w:val="22"/>
          <w:szCs w:val="22"/>
        </w:rPr>
        <w:t>8高度重合，主备份两端对应电流一致性良好。与 C0 相比，</w:t>
      </w:r>
      <w:r>
        <w:rPr>
          <w:rFonts w:ascii="微软雅黑" w:hAnsi="微软雅黑" w:eastAsia="微软雅黑" w:cs="微软雅黑"/>
          <w:color w:val="32373F"/>
          <w:spacing w:val="-40"/>
          <w:sz w:val="22"/>
          <w:szCs w:val="22"/>
        </w:rPr>
        <w:t xml:space="preserve"> </w:t>
      </w:r>
      <w:r>
        <w:rPr>
          <w:rFonts w:ascii="微软雅黑" w:hAnsi="微软雅黑" w:eastAsia="微软雅黑" w:cs="微软雅黑"/>
          <w:color w:val="32373F"/>
          <w:spacing w:val="4"/>
          <w:sz w:val="22"/>
          <w:szCs w:val="22"/>
        </w:rPr>
        <w:t>C1 电流在整个热真空试验期间几乎不随温度</w:t>
      </w:r>
      <w:r>
        <w:rPr>
          <w:rFonts w:ascii="微软雅黑" w:hAnsi="微软雅黑" w:eastAsia="微软雅黑" w:cs="微软雅黑"/>
          <w:color w:val="32373F"/>
          <w:spacing w:val="2"/>
          <w:sz w:val="22"/>
          <w:szCs w:val="22"/>
        </w:rPr>
        <w:t>变化而波动，曲线近似水平，表明 ±5 V 供电链路对温度变化的敏感度远低于</w:t>
      </w:r>
      <w:r>
        <w:rPr>
          <w:rFonts w:ascii="微软雅黑" w:hAnsi="微软雅黑" w:eastAsia="微软雅黑" w:cs="微软雅黑"/>
          <w:color w:val="32373F"/>
          <w:spacing w:val="34"/>
          <w:sz w:val="22"/>
          <w:szCs w:val="22"/>
        </w:rPr>
        <w:t xml:space="preserve"> </w:t>
      </w:r>
      <w:r>
        <w:rPr>
          <w:rFonts w:ascii="微软雅黑" w:hAnsi="微软雅黑" w:eastAsia="微软雅黑" w:cs="微软雅黑"/>
          <w:color w:val="32373F"/>
          <w:spacing w:val="2"/>
          <w:sz w:val="22"/>
          <w:szCs w:val="22"/>
        </w:rPr>
        <w:t>1.8 V 链路，功耗极为稳</w:t>
      </w:r>
      <w:r>
        <w:rPr>
          <w:rFonts w:ascii="微软雅黑" w:hAnsi="微软雅黑" w:eastAsia="微软雅黑" w:cs="微软雅黑"/>
          <w:color w:val="32373F"/>
          <w:sz w:val="22"/>
          <w:szCs w:val="22"/>
        </w:rPr>
        <w:t xml:space="preserve"> </w:t>
      </w:r>
      <w:r>
        <w:rPr>
          <w:rFonts w:ascii="微软雅黑" w:hAnsi="微软雅黑" w:eastAsia="微软雅黑" w:cs="微软雅黑"/>
          <w:color w:val="32373F"/>
          <w:spacing w:val="-10"/>
          <w:sz w:val="22"/>
          <w:szCs w:val="22"/>
        </w:rPr>
        <w:t>定。</w:t>
      </w:r>
    </w:p>
    <w:p w14:paraId="7AE20DDB">
      <w:pPr>
        <w:spacing w:before="310" w:line="187" w:lineRule="auto"/>
        <w:ind w:left="2"/>
        <w:rPr>
          <w:rFonts w:ascii="微软雅黑" w:hAnsi="微软雅黑" w:eastAsia="微软雅黑" w:cs="微软雅黑"/>
          <w:sz w:val="22"/>
          <w:szCs w:val="22"/>
        </w:rPr>
      </w:pPr>
      <w:r>
        <w:rPr>
          <w:rFonts w:ascii="微软雅黑" w:hAnsi="微软雅黑" w:eastAsia="微软雅黑" w:cs="微软雅黑"/>
          <w:color w:val="32373F"/>
          <w:spacing w:val="2"/>
          <w:sz w:val="22"/>
          <w:szCs w:val="22"/>
        </w:rPr>
        <w:t>全程未观测到任何异常突变或系统性漂移。</w:t>
      </w:r>
    </w:p>
    <w:p w14:paraId="7546E25C">
      <w:pPr>
        <w:pStyle w:val="2"/>
        <w:spacing w:line="259" w:lineRule="auto"/>
        <w:rPr>
          <w:sz w:val="21"/>
        </w:rPr>
      </w:pPr>
    </w:p>
    <w:p w14:paraId="7B6C2931">
      <w:pPr>
        <w:pStyle w:val="2"/>
        <w:spacing w:before="103" w:line="187" w:lineRule="auto"/>
        <w:ind w:left="4"/>
        <w:outlineLvl w:val="2"/>
        <w:rPr>
          <w:rFonts w:ascii="微软雅黑" w:hAnsi="微软雅黑" w:eastAsia="微软雅黑" w:cs="微软雅黑"/>
          <w:sz w:val="24"/>
          <w:szCs w:val="24"/>
        </w:rPr>
      </w:pPr>
      <w:r>
        <w:rPr>
          <w:b/>
          <w:bCs/>
          <w:color w:val="32373F"/>
          <w:spacing w:val="4"/>
          <w:sz w:val="24"/>
          <w:szCs w:val="24"/>
        </w:rPr>
        <w:t xml:space="preserve">4.2 </w:t>
      </w:r>
      <w:r>
        <w:rPr>
          <w:rFonts w:ascii="微软雅黑" w:hAnsi="微软雅黑" w:eastAsia="微软雅黑" w:cs="微软雅黑"/>
          <w:b/>
          <w:bCs/>
          <w:color w:val="32373F"/>
          <w:spacing w:val="4"/>
          <w:sz w:val="24"/>
          <w:szCs w:val="24"/>
        </w:rPr>
        <w:t>温度监测</w:t>
      </w:r>
    </w:p>
    <w:p w14:paraId="7AB42A15">
      <w:pPr>
        <w:spacing w:before="159" w:line="7545" w:lineRule="exact"/>
      </w:pPr>
      <w:r>
        <w:rPr>
          <w:position w:val="-150"/>
        </w:rPr>
        <w:drawing>
          <wp:inline distT="0" distB="0" distL="0" distR="0">
            <wp:extent cx="6572250" cy="47910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6572250" cy="4791075"/>
                    </a:xfrm>
                    <a:prstGeom prst="rect">
                      <a:avLst/>
                    </a:prstGeom>
                  </pic:spPr>
                </pic:pic>
              </a:graphicData>
            </a:graphic>
          </wp:inline>
        </w:drawing>
      </w:r>
    </w:p>
    <w:p w14:paraId="7C07F34E">
      <w:pPr>
        <w:spacing w:line="7545" w:lineRule="exact"/>
        <w:sectPr>
          <w:pgSz w:w="11919" w:h="16858"/>
          <w:pgMar w:top="519" w:right="783" w:bottom="0" w:left="785" w:header="0" w:footer="0" w:gutter="0"/>
          <w:cols w:space="720" w:num="1"/>
        </w:sectPr>
      </w:pPr>
    </w:p>
    <w:p w14:paraId="09893646">
      <w:pPr>
        <w:pStyle w:val="2"/>
        <w:spacing w:before="61" w:line="239" w:lineRule="auto"/>
        <w:ind w:left="14" w:right="86" w:hanging="11"/>
        <w:rPr>
          <w:rFonts w:ascii="微软雅黑" w:hAnsi="微软雅黑" w:eastAsia="微软雅黑" w:cs="微软雅黑"/>
        </w:rPr>
      </w:pPr>
      <w:r>
        <w:rPr>
          <w:rFonts w:ascii="微软雅黑" w:hAnsi="微软雅黑" w:eastAsia="微软雅黑" w:cs="微软雅黑"/>
          <w:color w:val="32373F"/>
          <w:spacing w:val="4"/>
        </w:rPr>
        <w:t xml:space="preserve">该图给出了热真空试验期间 </w:t>
      </w:r>
      <w:r>
        <w:rPr>
          <w:color w:val="32373F"/>
        </w:rPr>
        <w:t>FEE</w:t>
      </w:r>
      <w:r>
        <w:rPr>
          <w:color w:val="32373F"/>
          <w:spacing w:val="4"/>
        </w:rPr>
        <w:t>5–8</w:t>
      </w:r>
      <w:r>
        <w:rPr>
          <w:color w:val="32373F"/>
          <w:spacing w:val="23"/>
        </w:rPr>
        <w:t xml:space="preserve"> </w:t>
      </w:r>
      <w:r>
        <w:rPr>
          <w:rFonts w:ascii="微软雅黑" w:hAnsi="微软雅黑" w:eastAsia="微软雅黑" w:cs="微软雅黑"/>
          <w:color w:val="32373F"/>
          <w:spacing w:val="4"/>
        </w:rPr>
        <w:t>四块前端电子学板的温</w:t>
      </w:r>
      <w:r>
        <w:rPr>
          <w:rFonts w:ascii="微软雅黑" w:hAnsi="微软雅黑" w:eastAsia="微软雅黑" w:cs="微软雅黑"/>
          <w:color w:val="32373F"/>
          <w:spacing w:val="3"/>
        </w:rPr>
        <w:t xml:space="preserve">度遥测结果，分别呈现 </w:t>
      </w:r>
      <w:r>
        <w:rPr>
          <w:color w:val="32373F"/>
          <w:spacing w:val="3"/>
        </w:rPr>
        <w:t>T0–T3</w:t>
      </w:r>
      <w:r>
        <w:rPr>
          <w:color w:val="32373F"/>
          <w:spacing w:val="22"/>
          <w:w w:val="101"/>
        </w:rPr>
        <w:t xml:space="preserve"> </w:t>
      </w:r>
      <w:r>
        <w:rPr>
          <w:rFonts w:ascii="微软雅黑" w:hAnsi="微软雅黑" w:eastAsia="微软雅黑" w:cs="微软雅黑"/>
          <w:color w:val="32373F"/>
          <w:spacing w:val="3"/>
        </w:rPr>
        <w:t>四个测点的时</w:t>
      </w:r>
      <w:r>
        <w:rPr>
          <w:rFonts w:ascii="微软雅黑" w:hAnsi="微软雅黑" w:eastAsia="微软雅黑" w:cs="微软雅黑"/>
          <w:color w:val="32373F"/>
        </w:rPr>
        <w:t xml:space="preserve">间演化曲线，监测时段为 </w:t>
      </w:r>
      <w:r>
        <w:rPr>
          <w:color w:val="32373F"/>
        </w:rPr>
        <w:t xml:space="preserve">4 </w:t>
      </w:r>
      <w:r>
        <w:rPr>
          <w:rFonts w:ascii="微软雅黑" w:hAnsi="微软雅黑" w:eastAsia="微软雅黑" w:cs="微软雅黑"/>
          <w:color w:val="32373F"/>
        </w:rPr>
        <w:t xml:space="preserve">月 </w:t>
      </w:r>
      <w:r>
        <w:rPr>
          <w:color w:val="32373F"/>
        </w:rPr>
        <w:t>2</w:t>
      </w:r>
      <w:r>
        <w:rPr>
          <w:color w:val="32373F"/>
          <w:spacing w:val="36"/>
        </w:rPr>
        <w:t xml:space="preserve"> </w:t>
      </w:r>
      <w:r>
        <w:rPr>
          <w:rFonts w:ascii="微软雅黑" w:hAnsi="微软雅黑" w:eastAsia="微软雅黑" w:cs="微软雅黑"/>
          <w:color w:val="32373F"/>
        </w:rPr>
        <w:t xml:space="preserve">日至 </w:t>
      </w:r>
      <w:r>
        <w:rPr>
          <w:color w:val="32373F"/>
          <w:spacing w:val="-1"/>
        </w:rPr>
        <w:t xml:space="preserve">4 </w:t>
      </w:r>
      <w:r>
        <w:rPr>
          <w:rFonts w:ascii="微软雅黑" w:hAnsi="微软雅黑" w:eastAsia="微软雅黑" w:cs="微软雅黑"/>
          <w:color w:val="32373F"/>
          <w:spacing w:val="-1"/>
        </w:rPr>
        <w:t xml:space="preserve">月 </w:t>
      </w:r>
      <w:r>
        <w:rPr>
          <w:color w:val="32373F"/>
          <w:spacing w:val="-1"/>
        </w:rPr>
        <w:t>7</w:t>
      </w:r>
      <w:r>
        <w:rPr>
          <w:color w:val="32373F"/>
          <w:spacing w:val="36"/>
        </w:rPr>
        <w:t xml:space="preserve"> </w:t>
      </w:r>
      <w:r>
        <w:rPr>
          <w:rFonts w:ascii="微软雅黑" w:hAnsi="微软雅黑" w:eastAsia="微软雅黑" w:cs="微软雅黑"/>
          <w:color w:val="32373F"/>
          <w:spacing w:val="-1"/>
        </w:rPr>
        <w:t>日。</w:t>
      </w:r>
    </w:p>
    <w:p w14:paraId="5E98E415">
      <w:pPr>
        <w:spacing w:before="310" w:line="186" w:lineRule="auto"/>
        <w:ind w:left="1"/>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整体规律</w:t>
      </w:r>
    </w:p>
    <w:p w14:paraId="1A341479">
      <w:pPr>
        <w:pStyle w:val="2"/>
        <w:spacing w:line="245" w:lineRule="auto"/>
        <w:rPr>
          <w:sz w:val="21"/>
        </w:rPr>
      </w:pPr>
    </w:p>
    <w:p w14:paraId="4E92D8A4">
      <w:pPr>
        <w:pStyle w:val="2"/>
        <w:spacing w:before="94"/>
        <w:ind w:right="51" w:firstLine="19"/>
        <w:rPr>
          <w:rFonts w:ascii="微软雅黑" w:hAnsi="微软雅黑" w:eastAsia="微软雅黑" w:cs="微软雅黑"/>
        </w:rPr>
      </w:pPr>
      <w:r>
        <w:rPr>
          <w:rFonts w:ascii="微软雅黑" w:hAnsi="微软雅黑" w:eastAsia="微软雅黑" w:cs="微软雅黑"/>
          <w:color w:val="32373F"/>
          <w:spacing w:val="3"/>
        </w:rPr>
        <w:t>四个温度测点（</w:t>
      </w:r>
      <w:r>
        <w:rPr>
          <w:color w:val="32373F"/>
          <w:spacing w:val="3"/>
        </w:rPr>
        <w:t>T0–T3</w:t>
      </w:r>
      <w:r>
        <w:rPr>
          <w:rFonts w:ascii="微软雅黑" w:hAnsi="微软雅黑" w:eastAsia="微软雅黑" w:cs="微软雅黑"/>
          <w:color w:val="32373F"/>
          <w:spacing w:val="3"/>
        </w:rPr>
        <w:t>）在</w:t>
      </w:r>
      <w:r>
        <w:rPr>
          <w:rFonts w:ascii="微软雅黑" w:hAnsi="微软雅黑" w:eastAsia="微软雅黑" w:cs="微软雅黑"/>
          <w:color w:val="32373F"/>
          <w:spacing w:val="39"/>
        </w:rPr>
        <w:t xml:space="preserve"> </w:t>
      </w:r>
      <w:r>
        <w:rPr>
          <w:color w:val="32373F"/>
        </w:rPr>
        <w:t>FEE</w:t>
      </w:r>
      <w:r>
        <w:rPr>
          <w:color w:val="32373F"/>
          <w:spacing w:val="3"/>
        </w:rPr>
        <w:t>5–8</w:t>
      </w:r>
      <w:r>
        <w:rPr>
          <w:color w:val="32373F"/>
          <w:spacing w:val="22"/>
          <w:w w:val="101"/>
        </w:rPr>
        <w:t xml:space="preserve"> </w:t>
      </w:r>
      <w:r>
        <w:rPr>
          <w:rFonts w:ascii="微软雅黑" w:hAnsi="微软雅黑" w:eastAsia="微软雅黑" w:cs="微软雅黑"/>
          <w:color w:val="32373F"/>
          <w:spacing w:val="3"/>
        </w:rPr>
        <w:t>四块板卡上均呈现出高度一致的周期性变化规律，各测点曲线几乎</w:t>
      </w:r>
      <w:r>
        <w:rPr>
          <w:rFonts w:ascii="微软雅黑" w:hAnsi="微软雅黑" w:eastAsia="微软雅黑" w:cs="微软雅黑"/>
          <w:color w:val="32373F"/>
          <w:spacing w:val="11"/>
        </w:rPr>
        <w:t xml:space="preserve">完全重合，四块板卡之间的温度差异极小（约 </w:t>
      </w:r>
      <w:r>
        <w:rPr>
          <w:color w:val="32373F"/>
          <w:spacing w:val="11"/>
        </w:rPr>
        <w:t xml:space="preserve">±1–2 </w:t>
      </w:r>
      <w:r>
        <w:rPr>
          <w:rFonts w:ascii="微软雅黑" w:hAnsi="微软雅黑" w:eastAsia="微软雅黑" w:cs="微软雅黑"/>
          <w:color w:val="32373F"/>
          <w:spacing w:val="11"/>
        </w:rPr>
        <w:t>℃),说明热真空罐内温场分布均匀，各板卡</w:t>
      </w:r>
      <w:r>
        <w:rPr>
          <w:rFonts w:ascii="微软雅黑" w:hAnsi="微软雅黑" w:eastAsia="微软雅黑" w:cs="微软雅黑"/>
          <w:color w:val="32373F"/>
          <w:spacing w:val="10"/>
        </w:rPr>
        <w:t>热响应</w:t>
      </w:r>
      <w:r>
        <w:rPr>
          <w:rFonts w:ascii="微软雅黑" w:hAnsi="微软雅黑" w:eastAsia="微软雅黑" w:cs="微软雅黑"/>
          <w:color w:val="32373F"/>
        </w:rPr>
        <w:t>特性高度一致。</w:t>
      </w:r>
    </w:p>
    <w:p w14:paraId="49660925">
      <w:pPr>
        <w:spacing w:before="289" w:line="186" w:lineRule="auto"/>
        <w:ind w:left="3"/>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温度剖面特征</w:t>
      </w:r>
    </w:p>
    <w:p w14:paraId="74366A80">
      <w:pPr>
        <w:pStyle w:val="2"/>
        <w:spacing w:line="270" w:lineRule="auto"/>
        <w:rPr>
          <w:sz w:val="21"/>
        </w:rPr>
      </w:pPr>
    </w:p>
    <w:p w14:paraId="34D22632">
      <w:pPr>
        <w:pStyle w:val="2"/>
        <w:spacing w:before="95" w:line="239" w:lineRule="auto"/>
        <w:ind w:left="3" w:right="199" w:hanging="1"/>
        <w:rPr>
          <w:rFonts w:ascii="微软雅黑" w:hAnsi="微软雅黑" w:eastAsia="微软雅黑" w:cs="微软雅黑"/>
        </w:rPr>
      </w:pPr>
      <w:r>
        <w:rPr>
          <w:rFonts w:ascii="微软雅黑" w:hAnsi="微软雅黑" w:eastAsia="微软雅黑" w:cs="微软雅黑"/>
          <w:color w:val="32373F"/>
          <w:spacing w:val="5"/>
        </w:rPr>
        <w:t xml:space="preserve">从时序曲线来看，整个监测期间共经历约 </w:t>
      </w:r>
      <w:r>
        <w:rPr>
          <w:color w:val="32373F"/>
          <w:spacing w:val="5"/>
        </w:rPr>
        <w:t xml:space="preserve">2 </w:t>
      </w:r>
      <w:r>
        <w:rPr>
          <w:rFonts w:ascii="微软雅黑" w:hAnsi="微软雅黑" w:eastAsia="微软雅黑" w:cs="微软雅黑"/>
          <w:color w:val="32373F"/>
          <w:spacing w:val="5"/>
        </w:rPr>
        <w:t>个完整的热循环周期</w:t>
      </w:r>
      <w:r>
        <w:rPr>
          <w:rFonts w:ascii="微软雅黑" w:hAnsi="微软雅黑" w:eastAsia="微软雅黑" w:cs="微软雅黑"/>
          <w:color w:val="32373F"/>
          <w:spacing w:val="4"/>
        </w:rPr>
        <w:t>，温度剖面呈现出清晰的高温平台</w:t>
      </w:r>
      <w:r>
        <w:rPr>
          <w:color w:val="32373F"/>
          <w:spacing w:val="4"/>
        </w:rPr>
        <w:t>—</w:t>
      </w:r>
      <w:r>
        <w:rPr>
          <w:rFonts w:ascii="微软雅黑" w:hAnsi="微软雅黑" w:eastAsia="微软雅黑" w:cs="微软雅黑"/>
          <w:color w:val="32373F"/>
          <w:spacing w:val="4"/>
        </w:rPr>
        <w:t>降</w:t>
      </w:r>
      <w:r>
        <w:rPr>
          <w:rFonts w:ascii="微软雅黑" w:hAnsi="微软雅黑" w:eastAsia="微软雅黑" w:cs="微软雅黑"/>
          <w:color w:val="32373F"/>
          <w:spacing w:val="2"/>
        </w:rPr>
        <w:t>温</w:t>
      </w:r>
      <w:r>
        <w:rPr>
          <w:color w:val="32373F"/>
          <w:spacing w:val="2"/>
        </w:rPr>
        <w:t>—</w:t>
      </w:r>
      <w:r>
        <w:rPr>
          <w:rFonts w:ascii="微软雅黑" w:hAnsi="微软雅黑" w:eastAsia="微软雅黑" w:cs="微软雅黑"/>
          <w:color w:val="32373F"/>
          <w:spacing w:val="2"/>
        </w:rPr>
        <w:t>低温平台</w:t>
      </w:r>
      <w:r>
        <w:rPr>
          <w:color w:val="32373F"/>
          <w:spacing w:val="2"/>
        </w:rPr>
        <w:t>—</w:t>
      </w:r>
      <w:r>
        <w:rPr>
          <w:rFonts w:ascii="微软雅黑" w:hAnsi="微软雅黑" w:eastAsia="微软雅黑" w:cs="微软雅黑"/>
          <w:color w:val="32373F"/>
          <w:spacing w:val="2"/>
        </w:rPr>
        <w:t>升温的周期性结构：</w:t>
      </w:r>
    </w:p>
    <w:p w14:paraId="32B13C79">
      <w:pPr>
        <w:pStyle w:val="2"/>
        <w:spacing w:before="225" w:line="235" w:lineRule="auto"/>
        <w:ind w:left="387" w:right="210" w:hanging="238"/>
        <w:rPr>
          <w:rFonts w:ascii="微软雅黑" w:hAnsi="微软雅黑" w:eastAsia="微软雅黑" w:cs="微软雅黑"/>
        </w:rPr>
      </w:pPr>
      <w:r>
        <w:rPr>
          <w:color w:val="32373F"/>
          <w:spacing w:val="7"/>
          <w:position w:val="4"/>
        </w:rPr>
        <w:t>·</w:t>
      </w:r>
      <w:r>
        <w:rPr>
          <w:color w:val="32373F"/>
          <w:spacing w:val="20"/>
          <w:position w:val="4"/>
        </w:rPr>
        <w:t xml:space="preserve">  </w:t>
      </w:r>
      <w:r>
        <w:rPr>
          <w:rFonts w:ascii="微软雅黑" w:hAnsi="微软雅黑" w:eastAsia="微软雅黑" w:cs="微软雅黑"/>
          <w:b/>
          <w:bCs/>
          <w:color w:val="32373F"/>
          <w:spacing w:val="7"/>
        </w:rPr>
        <w:t>高温平台</w:t>
      </w:r>
      <w:r>
        <w:rPr>
          <w:rFonts w:ascii="微软雅黑" w:hAnsi="微软雅黑" w:eastAsia="微软雅黑" w:cs="微软雅黑"/>
          <w:color w:val="32373F"/>
          <w:spacing w:val="7"/>
        </w:rPr>
        <w:t>：各测点温度在高温台阶期间收敛至约</w:t>
      </w:r>
      <w:r>
        <w:rPr>
          <w:rFonts w:ascii="微软雅黑" w:hAnsi="微软雅黑" w:eastAsia="微软雅黑" w:cs="微软雅黑"/>
          <w:color w:val="32373F"/>
          <w:spacing w:val="22"/>
          <w:w w:val="101"/>
        </w:rPr>
        <w:t xml:space="preserve"> </w:t>
      </w:r>
      <w:r>
        <w:rPr>
          <w:color w:val="32373F"/>
          <w:spacing w:val="7"/>
        </w:rPr>
        <w:t xml:space="preserve">+35–45 </w:t>
      </w:r>
      <w:r>
        <w:rPr>
          <w:rFonts w:ascii="微软雅黑" w:hAnsi="微软雅黑" w:eastAsia="微软雅黑" w:cs="微软雅黑"/>
          <w:color w:val="32373F"/>
          <w:spacing w:val="7"/>
        </w:rPr>
        <w:t>℃,其中</w:t>
      </w:r>
      <w:r>
        <w:rPr>
          <w:rFonts w:ascii="微软雅黑" w:hAnsi="微软雅黑" w:eastAsia="微软雅黑" w:cs="微软雅黑"/>
          <w:color w:val="32373F"/>
          <w:spacing w:val="6"/>
        </w:rPr>
        <w:t xml:space="preserve"> </w:t>
      </w:r>
      <w:r>
        <w:rPr>
          <w:color w:val="32373F"/>
          <w:spacing w:val="6"/>
        </w:rPr>
        <w:t xml:space="preserve">T2 </w:t>
      </w:r>
      <w:r>
        <w:rPr>
          <w:rFonts w:ascii="微软雅黑" w:hAnsi="微软雅黑" w:eastAsia="微软雅黑" w:cs="微软雅黑"/>
          <w:color w:val="32373F"/>
          <w:spacing w:val="6"/>
        </w:rPr>
        <w:t xml:space="preserve">和 </w:t>
      </w:r>
      <w:r>
        <w:rPr>
          <w:color w:val="32373F"/>
          <w:spacing w:val="6"/>
        </w:rPr>
        <w:t xml:space="preserve">T3 </w:t>
      </w:r>
      <w:r>
        <w:rPr>
          <w:rFonts w:ascii="微软雅黑" w:hAnsi="微软雅黑" w:eastAsia="微软雅黑" w:cs="微软雅黑"/>
          <w:color w:val="32373F"/>
          <w:spacing w:val="6"/>
        </w:rPr>
        <w:t>测点由于热容较大或与</w:t>
      </w:r>
      <w:r>
        <w:rPr>
          <w:rFonts w:ascii="微软雅黑" w:hAnsi="微软雅黑" w:eastAsia="微软雅黑" w:cs="微软雅黑"/>
          <w:color w:val="32373F"/>
          <w:spacing w:val="3"/>
        </w:rPr>
        <w:t xml:space="preserve">热源更为接近，稳定值略高于 </w:t>
      </w:r>
      <w:r>
        <w:rPr>
          <w:color w:val="32373F"/>
          <w:spacing w:val="3"/>
        </w:rPr>
        <w:t xml:space="preserve">T0 </w:t>
      </w:r>
      <w:r>
        <w:rPr>
          <w:rFonts w:ascii="微软雅黑" w:hAnsi="微软雅黑" w:eastAsia="微软雅黑" w:cs="微软雅黑"/>
          <w:color w:val="32373F"/>
          <w:spacing w:val="3"/>
        </w:rPr>
        <w:t xml:space="preserve">和 </w:t>
      </w:r>
      <w:r>
        <w:rPr>
          <w:color w:val="32373F"/>
          <w:spacing w:val="3"/>
        </w:rPr>
        <w:t>T1</w:t>
      </w:r>
      <w:r>
        <w:rPr>
          <w:rFonts w:ascii="微软雅黑" w:hAnsi="微软雅黑" w:eastAsia="微软雅黑" w:cs="微软雅黑"/>
          <w:color w:val="32373F"/>
          <w:spacing w:val="3"/>
        </w:rPr>
        <w:t>，约为</w:t>
      </w:r>
      <w:r>
        <w:rPr>
          <w:rFonts w:ascii="微软雅黑" w:hAnsi="微软雅黑" w:eastAsia="微软雅黑" w:cs="微软雅黑"/>
          <w:color w:val="32373F"/>
          <w:spacing w:val="28"/>
        </w:rPr>
        <w:t xml:space="preserve"> </w:t>
      </w:r>
      <w:r>
        <w:rPr>
          <w:color w:val="32373F"/>
          <w:spacing w:val="3"/>
        </w:rPr>
        <w:t>+40–45</w:t>
      </w:r>
      <w:r>
        <w:rPr>
          <w:color w:val="32373F"/>
          <w:spacing w:val="2"/>
        </w:rPr>
        <w:t xml:space="preserve"> </w:t>
      </w:r>
      <w:r>
        <w:rPr>
          <w:rFonts w:ascii="微软雅黑" w:hAnsi="微软雅黑" w:eastAsia="微软雅黑" w:cs="微软雅黑"/>
          <w:color w:val="32373F"/>
          <w:spacing w:val="2"/>
        </w:rPr>
        <w:t>℃;</w:t>
      </w:r>
    </w:p>
    <w:p w14:paraId="589883CB">
      <w:pPr>
        <w:pStyle w:val="2"/>
        <w:spacing w:before="72" w:line="231" w:lineRule="auto"/>
        <w:ind w:left="150"/>
        <w:rPr>
          <w:rFonts w:ascii="微软雅黑" w:hAnsi="微软雅黑" w:eastAsia="微软雅黑" w:cs="微软雅黑"/>
        </w:rPr>
      </w:pPr>
      <w:r>
        <w:rPr>
          <w:color w:val="32373F"/>
          <w:spacing w:val="7"/>
          <w:position w:val="4"/>
        </w:rPr>
        <w:t>·</w:t>
      </w:r>
      <w:r>
        <w:rPr>
          <w:color w:val="32373F"/>
          <w:spacing w:val="19"/>
          <w:position w:val="4"/>
        </w:rPr>
        <w:t xml:space="preserve">  </w:t>
      </w:r>
      <w:r>
        <w:rPr>
          <w:rFonts w:ascii="微软雅黑" w:hAnsi="微软雅黑" w:eastAsia="微软雅黑" w:cs="微软雅黑"/>
          <w:b/>
          <w:bCs/>
          <w:color w:val="32373F"/>
          <w:spacing w:val="7"/>
        </w:rPr>
        <w:t>低温平台</w:t>
      </w:r>
      <w:r>
        <w:rPr>
          <w:rFonts w:ascii="微软雅黑" w:hAnsi="微软雅黑" w:eastAsia="微软雅黑" w:cs="微软雅黑"/>
          <w:color w:val="32373F"/>
          <w:spacing w:val="7"/>
        </w:rPr>
        <w:t>：各测点在低温台阶期间降至约</w:t>
      </w:r>
      <w:r>
        <w:rPr>
          <w:rFonts w:ascii="微软雅黑" w:hAnsi="微软雅黑" w:eastAsia="微软雅黑" w:cs="微软雅黑"/>
          <w:color w:val="32373F"/>
          <w:spacing w:val="22"/>
        </w:rPr>
        <w:t xml:space="preserve"> </w:t>
      </w:r>
      <w:r>
        <w:rPr>
          <w:color w:val="32373F"/>
          <w:spacing w:val="7"/>
        </w:rPr>
        <w:t xml:space="preserve">_10–_15 </w:t>
      </w:r>
      <w:r>
        <w:rPr>
          <w:rFonts w:ascii="微软雅黑" w:hAnsi="微软雅黑" w:eastAsia="微软雅黑" w:cs="微软雅黑"/>
          <w:color w:val="32373F"/>
          <w:spacing w:val="7"/>
        </w:rPr>
        <w:t>℃,四块板卡各测点温度一致性良好；</w:t>
      </w:r>
    </w:p>
    <w:p w14:paraId="273BBEC6">
      <w:pPr>
        <w:spacing w:before="127"/>
        <w:ind w:left="385" w:right="71" w:hanging="235"/>
        <w:rPr>
          <w:rFonts w:ascii="微软雅黑" w:hAnsi="微软雅黑" w:eastAsia="微软雅黑" w:cs="微软雅黑"/>
          <w:sz w:val="22"/>
          <w:szCs w:val="22"/>
        </w:rPr>
      </w:pPr>
      <w:r>
        <w:rPr>
          <w:rFonts w:ascii="微软雅黑" w:hAnsi="微软雅黑" w:eastAsia="微软雅黑" w:cs="微软雅黑"/>
          <w:color w:val="32373F"/>
          <w:position w:val="3"/>
          <w:sz w:val="22"/>
          <w:szCs w:val="22"/>
        </w:rPr>
        <w:drawing>
          <wp:inline distT="0" distB="0" distL="0" distR="0">
            <wp:extent cx="47625" cy="476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5"/>
          <w:sz w:val="22"/>
          <w:szCs w:val="22"/>
        </w:rPr>
        <w:t xml:space="preserve">  </w:t>
      </w:r>
      <w:r>
        <w:rPr>
          <w:rFonts w:ascii="微软雅黑" w:hAnsi="微软雅黑" w:eastAsia="微软雅黑" w:cs="微软雅黑"/>
          <w:b/>
          <w:bCs/>
          <w:color w:val="32373F"/>
          <w:spacing w:val="5"/>
          <w:sz w:val="22"/>
          <w:szCs w:val="22"/>
        </w:rPr>
        <w:t>升降温过渡</w:t>
      </w:r>
      <w:r>
        <w:rPr>
          <w:rFonts w:ascii="微软雅黑" w:hAnsi="微软雅黑" w:eastAsia="微软雅黑" w:cs="微软雅黑"/>
          <w:color w:val="32373F"/>
          <w:spacing w:val="5"/>
          <w:sz w:val="22"/>
          <w:szCs w:val="22"/>
        </w:rPr>
        <w:t>：升降温过程中各测点曲线连续平滑，未出现温度突变或响应滞后</w:t>
      </w:r>
      <w:r>
        <w:rPr>
          <w:rFonts w:ascii="微软雅黑" w:hAnsi="微软雅黑" w:eastAsia="微软雅黑" w:cs="微软雅黑"/>
          <w:color w:val="32373F"/>
          <w:spacing w:val="4"/>
          <w:sz w:val="22"/>
          <w:szCs w:val="22"/>
        </w:rPr>
        <w:t>加剧现象，变温速率符</w:t>
      </w:r>
      <w:r>
        <w:rPr>
          <w:rFonts w:ascii="微软雅黑" w:hAnsi="微软雅黑" w:eastAsia="微软雅黑" w:cs="微软雅黑"/>
          <w:color w:val="32373F"/>
          <w:spacing w:val="-1"/>
          <w:sz w:val="22"/>
          <w:szCs w:val="22"/>
        </w:rPr>
        <w:t>合试验规范要求。</w:t>
      </w:r>
    </w:p>
    <w:p w14:paraId="0DB381DB">
      <w:pPr>
        <w:pStyle w:val="2"/>
        <w:spacing w:before="73" w:line="239" w:lineRule="auto"/>
        <w:ind w:left="5" w:right="104" w:hanging="3"/>
        <w:rPr>
          <w:rFonts w:ascii="微软雅黑" w:hAnsi="微软雅黑" w:eastAsia="微软雅黑" w:cs="微软雅黑"/>
        </w:rPr>
      </w:pPr>
      <w:r>
        <w:rPr>
          <w:rFonts w:ascii="微软雅黑" w:hAnsi="微软雅黑" w:eastAsia="微软雅黑" w:cs="微软雅黑"/>
          <w:color w:val="32373F"/>
          <w:spacing w:val="3"/>
        </w:rPr>
        <w:t xml:space="preserve">在 </w:t>
      </w:r>
      <w:r>
        <w:rPr>
          <w:color w:val="32373F"/>
          <w:spacing w:val="3"/>
        </w:rPr>
        <w:t xml:space="preserve">4 </w:t>
      </w:r>
      <w:r>
        <w:rPr>
          <w:rFonts w:ascii="微软雅黑" w:hAnsi="微软雅黑" w:eastAsia="微软雅黑" w:cs="微软雅黑"/>
          <w:color w:val="32373F"/>
          <w:spacing w:val="3"/>
        </w:rPr>
        <w:t xml:space="preserve">月 </w:t>
      </w:r>
      <w:r>
        <w:rPr>
          <w:color w:val="32373F"/>
          <w:spacing w:val="3"/>
        </w:rPr>
        <w:t>2–3</w:t>
      </w:r>
      <w:r>
        <w:rPr>
          <w:color w:val="32373F"/>
          <w:spacing w:val="46"/>
        </w:rPr>
        <w:t xml:space="preserve"> </w:t>
      </w:r>
      <w:r>
        <w:rPr>
          <w:rFonts w:ascii="微软雅黑" w:hAnsi="微软雅黑" w:eastAsia="微软雅黑" w:cs="微软雅黑"/>
          <w:color w:val="32373F"/>
          <w:spacing w:val="3"/>
        </w:rPr>
        <w:t xml:space="preserve">日监测起始阶段，各测点均记录到约 </w:t>
      </w:r>
      <w:r>
        <w:rPr>
          <w:color w:val="32373F"/>
          <w:spacing w:val="3"/>
        </w:rPr>
        <w:t xml:space="preserve">+35–45 </w:t>
      </w:r>
      <w:r>
        <w:rPr>
          <w:rFonts w:ascii="微软雅黑" w:hAnsi="微软雅黑" w:eastAsia="微软雅黑" w:cs="微软雅黑"/>
          <w:color w:val="32373F"/>
          <w:spacing w:val="3"/>
        </w:rPr>
        <w:t>℃ 的初始较高温度，随后进入正式的热循环剖面，说明该阶段对应试验初始高温平台的尾段或升温过渡区间。</w:t>
      </w:r>
    </w:p>
    <w:p w14:paraId="10068702">
      <w:pPr>
        <w:spacing w:before="314" w:line="185" w:lineRule="auto"/>
        <w:ind w:left="5"/>
        <w:rPr>
          <w:rFonts w:ascii="微软雅黑" w:hAnsi="微软雅黑" w:eastAsia="微软雅黑" w:cs="微软雅黑"/>
          <w:sz w:val="22"/>
          <w:szCs w:val="22"/>
        </w:rPr>
      </w:pPr>
      <w:r>
        <w:rPr>
          <w:rFonts w:ascii="微软雅黑" w:hAnsi="微软雅黑" w:eastAsia="微软雅黑" w:cs="微软雅黑"/>
          <w:b/>
          <w:bCs/>
          <w:color w:val="32373F"/>
          <w:spacing w:val="3"/>
          <w:sz w:val="22"/>
          <w:szCs w:val="22"/>
        </w:rPr>
        <w:t>异常分析</w:t>
      </w:r>
    </w:p>
    <w:p w14:paraId="76716A0D">
      <w:pPr>
        <w:pStyle w:val="2"/>
        <w:spacing w:line="245" w:lineRule="auto"/>
        <w:rPr>
          <w:sz w:val="21"/>
        </w:rPr>
      </w:pPr>
    </w:p>
    <w:p w14:paraId="76C243B7">
      <w:pPr>
        <w:pStyle w:val="2"/>
        <w:spacing w:before="94" w:line="241" w:lineRule="auto"/>
        <w:ind w:left="1"/>
        <w:rPr>
          <w:rFonts w:ascii="微软雅黑" w:hAnsi="微软雅黑" w:eastAsia="微软雅黑" w:cs="微软雅黑"/>
        </w:rPr>
      </w:pPr>
      <w:r>
        <w:rPr>
          <w:rFonts w:ascii="微软雅黑" w:hAnsi="微软雅黑" w:eastAsia="微软雅黑" w:cs="微软雅黑"/>
          <w:color w:val="32373F"/>
          <w:spacing w:val="9"/>
        </w:rPr>
        <w:t xml:space="preserve">在 </w:t>
      </w:r>
      <w:r>
        <w:rPr>
          <w:color w:val="32373F"/>
          <w:spacing w:val="9"/>
        </w:rPr>
        <w:t xml:space="preserve">4 </w:t>
      </w:r>
      <w:r>
        <w:rPr>
          <w:rFonts w:ascii="微软雅黑" w:hAnsi="微软雅黑" w:eastAsia="微软雅黑" w:cs="微软雅黑"/>
          <w:color w:val="32373F"/>
          <w:spacing w:val="9"/>
        </w:rPr>
        <w:t xml:space="preserve">月 </w:t>
      </w:r>
      <w:r>
        <w:rPr>
          <w:color w:val="32373F"/>
          <w:spacing w:val="9"/>
        </w:rPr>
        <w:t>3</w:t>
      </w:r>
      <w:r>
        <w:rPr>
          <w:color w:val="32373F"/>
          <w:spacing w:val="36"/>
        </w:rPr>
        <w:t xml:space="preserve"> </w:t>
      </w:r>
      <w:r>
        <w:rPr>
          <w:rFonts w:ascii="微软雅黑" w:hAnsi="微软雅黑" w:eastAsia="微软雅黑" w:cs="微软雅黑"/>
          <w:color w:val="32373F"/>
          <w:spacing w:val="9"/>
        </w:rPr>
        <w:t>日附近，</w:t>
      </w:r>
      <w:r>
        <w:rPr>
          <w:color w:val="32373F"/>
          <w:spacing w:val="9"/>
        </w:rPr>
        <w:t xml:space="preserve">T0 </w:t>
      </w:r>
      <w:r>
        <w:rPr>
          <w:rFonts w:ascii="微软雅黑" w:hAnsi="微软雅黑" w:eastAsia="微软雅黑" w:cs="微软雅黑"/>
          <w:color w:val="32373F"/>
          <w:spacing w:val="9"/>
        </w:rPr>
        <w:t xml:space="preserve">和 </w:t>
      </w:r>
      <w:r>
        <w:rPr>
          <w:color w:val="32373F"/>
          <w:spacing w:val="9"/>
        </w:rPr>
        <w:t xml:space="preserve">T1 </w:t>
      </w:r>
      <w:r>
        <w:rPr>
          <w:rFonts w:ascii="微软雅黑" w:hAnsi="微软雅黑" w:eastAsia="微软雅黑" w:cs="微软雅黑"/>
          <w:color w:val="32373F"/>
          <w:spacing w:val="9"/>
        </w:rPr>
        <w:t xml:space="preserve">测点出现短暂的数据跳点（约 </w:t>
      </w:r>
      <w:r>
        <w:rPr>
          <w:color w:val="32373F"/>
          <w:spacing w:val="9"/>
        </w:rPr>
        <w:t>+15</w:t>
      </w:r>
      <w:r>
        <w:rPr>
          <w:color w:val="32373F"/>
          <w:spacing w:val="8"/>
        </w:rPr>
        <w:t xml:space="preserve">–25 </w:t>
      </w:r>
      <w:r>
        <w:rPr>
          <w:rFonts w:ascii="微软雅黑" w:hAnsi="微软雅黑" w:eastAsia="微软雅黑" w:cs="微软雅黑"/>
          <w:color w:val="32373F"/>
          <w:spacing w:val="8"/>
        </w:rPr>
        <w:t>℃),与正常温度剖面存在偏离，推</w:t>
      </w:r>
      <w:r>
        <w:rPr>
          <w:rFonts w:ascii="微软雅黑" w:hAnsi="微软雅黑" w:eastAsia="微软雅黑" w:cs="微软雅黑"/>
          <w:color w:val="32373F"/>
          <w:spacing w:val="5"/>
        </w:rPr>
        <w:t>测为该时刻数据采集短暂中断后恢复或冷热启动断电重启所致，需结合状态量日志进一步核查；该</w:t>
      </w:r>
      <w:r>
        <w:rPr>
          <w:rFonts w:ascii="微软雅黑" w:hAnsi="微软雅黑" w:eastAsia="微软雅黑" w:cs="微软雅黑"/>
          <w:color w:val="32373F"/>
          <w:spacing w:val="4"/>
        </w:rPr>
        <w:t>异常持</w:t>
      </w:r>
      <w:r>
        <w:rPr>
          <w:rFonts w:ascii="微软雅黑" w:hAnsi="微软雅黑" w:eastAsia="微软雅黑" w:cs="微软雅黑"/>
          <w:color w:val="32373F"/>
          <w:spacing w:val="2"/>
        </w:rPr>
        <w:t>续时间极短，对后续温度监测无影响。</w:t>
      </w:r>
    </w:p>
    <w:p w14:paraId="2FC0009B">
      <w:pPr>
        <w:pStyle w:val="2"/>
        <w:spacing w:before="239" w:line="235" w:lineRule="auto"/>
        <w:ind w:left="1" w:right="24" w:firstLine="2"/>
        <w:jc w:val="both"/>
        <w:rPr>
          <w:rFonts w:ascii="微软雅黑" w:hAnsi="微软雅黑" w:eastAsia="微软雅黑" w:cs="微软雅黑"/>
        </w:rPr>
      </w:pPr>
      <w:r>
        <w:rPr>
          <w:rFonts w:ascii="微软雅黑" w:hAnsi="微软雅黑" w:eastAsia="微软雅黑" w:cs="微软雅黑"/>
          <w:color w:val="32373F"/>
          <w:spacing w:val="4"/>
        </w:rPr>
        <w:t>综合来看，</w:t>
      </w:r>
      <w:r>
        <w:rPr>
          <w:rFonts w:ascii="微软雅黑" w:hAnsi="微软雅黑" w:eastAsia="微软雅黑" w:cs="微软雅黑"/>
          <w:color w:val="32373F"/>
          <w:spacing w:val="-26"/>
        </w:rPr>
        <w:t xml:space="preserve"> </w:t>
      </w:r>
      <w:r>
        <w:rPr>
          <w:color w:val="32373F"/>
        </w:rPr>
        <w:t>FEE</w:t>
      </w:r>
      <w:r>
        <w:rPr>
          <w:color w:val="32373F"/>
          <w:spacing w:val="4"/>
        </w:rPr>
        <w:t>5–8</w:t>
      </w:r>
      <w:r>
        <w:rPr>
          <w:color w:val="32373F"/>
          <w:spacing w:val="23"/>
        </w:rPr>
        <w:t xml:space="preserve"> </w:t>
      </w:r>
      <w:r>
        <w:rPr>
          <w:rFonts w:ascii="微软雅黑" w:hAnsi="微软雅黑" w:eastAsia="微软雅黑" w:cs="微软雅黑"/>
          <w:color w:val="32373F"/>
          <w:spacing w:val="4"/>
        </w:rPr>
        <w:t>四块前端电子学板在热真空试验全程中的电</w:t>
      </w:r>
      <w:r>
        <w:rPr>
          <w:rFonts w:ascii="微软雅黑" w:hAnsi="微软雅黑" w:eastAsia="微软雅黑" w:cs="微软雅黑"/>
          <w:color w:val="32373F"/>
          <w:spacing w:val="3"/>
        </w:rPr>
        <w:t>流与温度遥测结果均表现正常。电流随温</w:t>
      </w:r>
      <w:r>
        <w:rPr>
          <w:rFonts w:ascii="微软雅黑" w:hAnsi="微软雅黑" w:eastAsia="微软雅黑" w:cs="微软雅黑"/>
          <w:color w:val="32373F"/>
          <w:spacing w:val="4"/>
        </w:rPr>
        <w:t>度的周期性变化规律一致、幅度合理，</w:t>
      </w:r>
      <w:r>
        <w:rPr>
          <w:rFonts w:ascii="微软雅黑" w:hAnsi="微软雅黑" w:eastAsia="微软雅黑" w:cs="微软雅黑"/>
          <w:color w:val="32373F"/>
          <w:spacing w:val="-21"/>
        </w:rPr>
        <w:t xml:space="preserve"> </w:t>
      </w:r>
      <w:r>
        <w:rPr>
          <w:color w:val="32373F"/>
          <w:spacing w:val="4"/>
        </w:rPr>
        <w:t xml:space="preserve">±5 V </w:t>
      </w:r>
      <w:r>
        <w:rPr>
          <w:rFonts w:ascii="微软雅黑" w:hAnsi="微软雅黑" w:eastAsia="微软雅黑" w:cs="微软雅黑"/>
          <w:color w:val="32373F"/>
          <w:spacing w:val="4"/>
        </w:rPr>
        <w:t>电流对温度不敏感且持续稳定；</w:t>
      </w:r>
      <w:r>
        <w:rPr>
          <w:rFonts w:ascii="微软雅黑" w:hAnsi="微软雅黑" w:eastAsia="微软雅黑" w:cs="微软雅黑"/>
          <w:color w:val="32373F"/>
          <w:spacing w:val="3"/>
        </w:rPr>
        <w:t>温度剖面与预设试验曲线高</w:t>
      </w:r>
      <w:r>
        <w:rPr>
          <w:rFonts w:ascii="微软雅黑" w:hAnsi="微软雅黑" w:eastAsia="微软雅黑" w:cs="微软雅黑"/>
          <w:color w:val="32373F"/>
          <w:spacing w:val="1"/>
        </w:rPr>
        <w:t>度吻合，各测点响应一致，未发现电流异常突变、温度场异常分布或数据采集持续中断等问题，</w:t>
      </w:r>
      <w:r>
        <w:rPr>
          <w:rFonts w:ascii="微软雅黑" w:hAnsi="微软雅黑" w:eastAsia="微软雅黑" w:cs="微软雅黑"/>
          <w:color w:val="32373F"/>
          <w:spacing w:val="22"/>
        </w:rPr>
        <w:t xml:space="preserve">  </w:t>
      </w:r>
      <w:r>
        <w:rPr>
          <w:color w:val="32373F"/>
        </w:rPr>
        <w:t>ECAL</w:t>
      </w:r>
      <w:r>
        <w:rPr>
          <w:color w:val="32373F"/>
          <w:spacing w:val="1"/>
        </w:rPr>
        <w:t xml:space="preserve"> </w:t>
      </w:r>
      <w:r>
        <w:rPr>
          <w:rFonts w:ascii="微软雅黑" w:hAnsi="微软雅黑" w:eastAsia="微软雅黑" w:cs="微软雅黑"/>
          <w:color w:val="32373F"/>
          <w:spacing w:val="1"/>
        </w:rPr>
        <w:t>载</w:t>
      </w:r>
      <w:r>
        <w:rPr>
          <w:rFonts w:ascii="微软雅黑" w:hAnsi="微软雅黑" w:eastAsia="微软雅黑" w:cs="微软雅黑"/>
          <w:color w:val="32373F"/>
          <w:spacing w:val="2"/>
        </w:rPr>
        <w:t>荷在热真空试验环境下的工作状态良好。</w:t>
      </w:r>
    </w:p>
    <w:p w14:paraId="2A35C94B">
      <w:pPr>
        <w:pStyle w:val="2"/>
        <w:spacing w:line="241" w:lineRule="auto"/>
        <w:rPr>
          <w:sz w:val="21"/>
        </w:rPr>
      </w:pPr>
    </w:p>
    <w:p w14:paraId="5995AD5C">
      <w:pPr>
        <w:spacing w:before="1" w:line="30" w:lineRule="exact"/>
      </w:pPr>
      <w:r>
        <w:drawing>
          <wp:inline distT="0" distB="0" distL="0" distR="0">
            <wp:extent cx="6572250" cy="190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
                    <a:stretch>
                      <a:fillRect/>
                    </a:stretch>
                  </pic:blipFill>
                  <pic:spPr>
                    <a:xfrm>
                      <a:off x="0" y="0"/>
                      <a:ext cx="6572250" cy="19050"/>
                    </a:xfrm>
                    <a:prstGeom prst="rect">
                      <a:avLst/>
                    </a:prstGeom>
                  </pic:spPr>
                </pic:pic>
              </a:graphicData>
            </a:graphic>
          </wp:inline>
        </w:drawing>
      </w:r>
    </w:p>
    <w:p w14:paraId="3A686835">
      <w:pPr>
        <w:pStyle w:val="2"/>
        <w:spacing w:before="246" w:line="184" w:lineRule="auto"/>
        <w:ind w:left="12"/>
        <w:outlineLvl w:val="1"/>
        <w:rPr>
          <w:rFonts w:ascii="微软雅黑" w:hAnsi="微软雅黑" w:eastAsia="微软雅黑" w:cs="微软雅黑"/>
          <w:sz w:val="29"/>
          <w:szCs w:val="29"/>
        </w:rPr>
      </w:pPr>
      <w:r>
        <w:rPr>
          <w:b/>
          <w:bCs/>
          <w:color w:val="32373F"/>
          <w:spacing w:val="-1"/>
          <w:sz w:val="29"/>
          <w:szCs w:val="29"/>
        </w:rPr>
        <w:t xml:space="preserve">5. </w:t>
      </w:r>
      <w:r>
        <w:rPr>
          <w:rFonts w:ascii="微软雅黑" w:hAnsi="微软雅黑" w:eastAsia="微软雅黑" w:cs="微软雅黑"/>
          <w:b/>
          <w:bCs/>
          <w:color w:val="32373F"/>
          <w:spacing w:val="-1"/>
          <w:sz w:val="29"/>
          <w:szCs w:val="29"/>
        </w:rPr>
        <w:t>监测参数</w:t>
      </w:r>
    </w:p>
    <w:p w14:paraId="6A459B94">
      <w:pPr>
        <w:pStyle w:val="2"/>
        <w:spacing w:before="273" w:line="187" w:lineRule="auto"/>
        <w:ind w:left="10"/>
        <w:outlineLvl w:val="2"/>
        <w:rPr>
          <w:rFonts w:ascii="微软雅黑" w:hAnsi="微软雅黑" w:eastAsia="微软雅黑" w:cs="微软雅黑"/>
          <w:sz w:val="24"/>
          <w:szCs w:val="24"/>
        </w:rPr>
      </w:pPr>
      <w:r>
        <w:rPr>
          <w:b/>
          <w:bCs/>
          <w:color w:val="32373F"/>
          <w:spacing w:val="6"/>
          <w:sz w:val="24"/>
          <w:szCs w:val="24"/>
        </w:rPr>
        <w:t xml:space="preserve">5.1 </w:t>
      </w:r>
      <w:r>
        <w:rPr>
          <w:rFonts w:ascii="微软雅黑" w:hAnsi="微软雅黑" w:eastAsia="微软雅黑" w:cs="微软雅黑"/>
          <w:b/>
          <w:bCs/>
          <w:color w:val="32373F"/>
          <w:spacing w:val="6"/>
          <w:sz w:val="24"/>
          <w:szCs w:val="24"/>
        </w:rPr>
        <w:t>基线（</w:t>
      </w:r>
      <w:r>
        <w:rPr>
          <w:b/>
          <w:bCs/>
          <w:color w:val="32373F"/>
          <w:sz w:val="24"/>
          <w:szCs w:val="24"/>
        </w:rPr>
        <w:t>Baseline</w:t>
      </w:r>
      <w:r>
        <w:rPr>
          <w:b/>
          <w:bCs/>
          <w:color w:val="32373F"/>
          <w:spacing w:val="6"/>
          <w:sz w:val="24"/>
          <w:szCs w:val="24"/>
        </w:rPr>
        <w:t xml:space="preserve"> /</w:t>
      </w:r>
      <w:r>
        <w:rPr>
          <w:b/>
          <w:bCs/>
          <w:color w:val="32373F"/>
          <w:spacing w:val="28"/>
          <w:w w:val="101"/>
          <w:sz w:val="24"/>
          <w:szCs w:val="24"/>
        </w:rPr>
        <w:t xml:space="preserve"> </w:t>
      </w:r>
      <w:r>
        <w:rPr>
          <w:b/>
          <w:bCs/>
          <w:color w:val="32373F"/>
          <w:sz w:val="24"/>
          <w:szCs w:val="24"/>
        </w:rPr>
        <w:t>Pedestal</w:t>
      </w:r>
      <w:r>
        <w:rPr>
          <w:rFonts w:ascii="微软雅黑" w:hAnsi="微软雅黑" w:eastAsia="微软雅黑" w:cs="微软雅黑"/>
          <w:b/>
          <w:bCs/>
          <w:color w:val="32373F"/>
          <w:spacing w:val="6"/>
          <w:sz w:val="24"/>
          <w:szCs w:val="24"/>
        </w:rPr>
        <w:t>）监测</w:t>
      </w:r>
    </w:p>
    <w:p w14:paraId="784724A6">
      <w:pPr>
        <w:spacing w:before="207" w:line="239" w:lineRule="auto"/>
        <w:ind w:left="3"/>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基线反映了电子学读出系统在无明显物理信号输入时的本底输出水平，是表征电子学工作稳定</w:t>
      </w:r>
      <w:r>
        <w:rPr>
          <w:rFonts w:ascii="微软雅黑" w:hAnsi="微软雅黑" w:eastAsia="微软雅黑" w:cs="微软雅黑"/>
          <w:color w:val="32373F"/>
          <w:spacing w:val="4"/>
          <w:sz w:val="22"/>
          <w:szCs w:val="22"/>
        </w:rPr>
        <w:t>性与噪声状</w:t>
      </w:r>
      <w:r>
        <w:rPr>
          <w:rFonts w:ascii="微软雅黑" w:hAnsi="微软雅黑" w:eastAsia="微软雅黑" w:cs="微软雅黑"/>
          <w:color w:val="32373F"/>
          <w:spacing w:val="-2"/>
          <w:sz w:val="22"/>
          <w:szCs w:val="22"/>
        </w:rPr>
        <w:t>态的核心参数。</w:t>
      </w:r>
    </w:p>
    <w:p w14:paraId="7042FD50">
      <w:pPr>
        <w:spacing w:before="267" w:line="236" w:lineRule="auto"/>
        <w:ind w:left="2"/>
        <w:jc w:val="both"/>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在热真空环境中，温度变化与真空条件的叠加可能对前端电子学工作点、器件暗电流、噪声水平</w:t>
      </w:r>
      <w:r>
        <w:rPr>
          <w:rFonts w:ascii="微软雅黑" w:hAnsi="微软雅黑" w:eastAsia="微软雅黑" w:cs="微软雅黑"/>
          <w:color w:val="32373F"/>
          <w:spacing w:val="4"/>
          <w:sz w:val="22"/>
          <w:szCs w:val="22"/>
        </w:rPr>
        <w:t>及局部散</w:t>
      </w:r>
      <w:r>
        <w:rPr>
          <w:rFonts w:ascii="微软雅黑" w:hAnsi="微软雅黑" w:eastAsia="微软雅黑" w:cs="微软雅黑"/>
          <w:color w:val="32373F"/>
          <w:spacing w:val="5"/>
          <w:sz w:val="22"/>
          <w:szCs w:val="22"/>
        </w:rPr>
        <w:t>热状态产生影响，因此需要对各通道基线随温度、时间及真空状态的演化进行持续监测，重点评</w:t>
      </w:r>
      <w:r>
        <w:rPr>
          <w:rFonts w:ascii="微软雅黑" w:hAnsi="微软雅黑" w:eastAsia="微软雅黑" w:cs="微软雅黑"/>
          <w:color w:val="32373F"/>
          <w:spacing w:val="4"/>
          <w:sz w:val="22"/>
          <w:szCs w:val="22"/>
        </w:rPr>
        <w:t>判是否存</w:t>
      </w:r>
      <w:r>
        <w:rPr>
          <w:rFonts w:ascii="微软雅黑" w:hAnsi="微软雅黑" w:eastAsia="微软雅黑" w:cs="微软雅黑"/>
          <w:color w:val="32373F"/>
          <w:spacing w:val="3"/>
          <w:sz w:val="22"/>
          <w:szCs w:val="22"/>
        </w:rPr>
        <w:t>在系统性漂移、噪声异常展宽或不可恢复的性能变</w:t>
      </w:r>
      <w:r>
        <w:rPr>
          <w:rFonts w:ascii="微软雅黑" w:hAnsi="微软雅黑" w:eastAsia="微软雅黑" w:cs="微软雅黑"/>
          <w:color w:val="32373F"/>
          <w:spacing w:val="2"/>
          <w:sz w:val="22"/>
          <w:szCs w:val="22"/>
        </w:rPr>
        <w:t>化。</w:t>
      </w:r>
    </w:p>
    <w:p w14:paraId="234E1159">
      <w:pPr>
        <w:spacing w:line="236" w:lineRule="auto"/>
        <w:rPr>
          <w:rFonts w:ascii="微软雅黑" w:hAnsi="微软雅黑" w:eastAsia="微软雅黑" w:cs="微软雅黑"/>
          <w:sz w:val="22"/>
          <w:szCs w:val="22"/>
        </w:rPr>
        <w:sectPr>
          <w:pgSz w:w="11919" w:h="16858"/>
          <w:pgMar w:top="519" w:right="783" w:bottom="0" w:left="785" w:header="0" w:footer="0" w:gutter="0"/>
          <w:cols w:space="720" w:num="1"/>
        </w:sectPr>
      </w:pPr>
    </w:p>
    <w:p w14:paraId="484BC1A6">
      <w:pPr>
        <w:pStyle w:val="2"/>
        <w:spacing w:before="62" w:line="231" w:lineRule="auto"/>
        <w:ind w:left="3"/>
        <w:rPr>
          <w:rFonts w:ascii="微软雅黑" w:hAnsi="微软雅黑" w:eastAsia="微软雅黑" w:cs="微软雅黑"/>
        </w:rPr>
      </w:pPr>
      <w:r>
        <w:rPr>
          <w:rFonts w:ascii="微软雅黑" w:hAnsi="微软雅黑" w:eastAsia="微软雅黑" w:cs="微软雅黑"/>
          <w:color w:val="32373F"/>
          <w:spacing w:val="3"/>
        </w:rPr>
        <w:t xml:space="preserve">本实验分别对以下四组读出链路进行 </w:t>
      </w:r>
      <w:r>
        <w:rPr>
          <w:color w:val="32373F"/>
        </w:rPr>
        <w:t>pedestal</w:t>
      </w:r>
      <w:r>
        <w:rPr>
          <w:color w:val="32373F"/>
          <w:spacing w:val="3"/>
        </w:rPr>
        <w:t xml:space="preserve"> </w:t>
      </w:r>
      <w:r>
        <w:rPr>
          <w:rFonts w:ascii="微软雅黑" w:hAnsi="微软雅黑" w:eastAsia="微软雅黑" w:cs="微软雅黑"/>
          <w:color w:val="32373F"/>
          <w:spacing w:val="3"/>
        </w:rPr>
        <w:t>分析：</w:t>
      </w:r>
    </w:p>
    <w:p w14:paraId="766FD106">
      <w:pPr>
        <w:pStyle w:val="2"/>
        <w:spacing w:line="241" w:lineRule="auto"/>
        <w:rPr>
          <w:sz w:val="21"/>
        </w:rPr>
      </w:pPr>
    </w:p>
    <w:p w14:paraId="28C41AB2">
      <w:pPr>
        <w:spacing w:before="94" w:line="187" w:lineRule="auto"/>
        <w:ind w:left="150"/>
        <w:rPr>
          <w:rFonts w:ascii="新宋体" w:hAnsi="新宋体" w:eastAsia="新宋体" w:cs="新宋体"/>
          <w:sz w:val="20"/>
          <w:szCs w:val="20"/>
        </w:rPr>
      </w:pPr>
      <w:r>
        <w:rPr>
          <w:rFonts w:ascii="微软雅黑" w:hAnsi="微软雅黑" w:eastAsia="微软雅黑" w:cs="微软雅黑"/>
          <w:color w:val="32373F"/>
          <w:position w:val="3"/>
          <w:sz w:val="22"/>
          <w:szCs w:val="22"/>
        </w:rPr>
        <w:drawing>
          <wp:inline distT="0" distB="0" distL="0" distR="0">
            <wp:extent cx="47625" cy="476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4"/>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7"/>
          <w:sz w:val="22"/>
          <w:szCs w:val="22"/>
        </w:rPr>
        <w:t xml:space="preserve">  </w:t>
      </w:r>
      <w:r>
        <w:rPr>
          <w:rFonts w:ascii="微软雅黑" w:hAnsi="微软雅黑" w:eastAsia="微软雅黑" w:cs="微软雅黑"/>
          <w:b/>
          <w:bCs/>
          <w:color w:val="32373F"/>
          <w:spacing w:val="9"/>
          <w:sz w:val="22"/>
          <w:szCs w:val="22"/>
        </w:rPr>
        <w:t>主份高增益</w:t>
      </w:r>
      <w:r>
        <w:rPr>
          <w:rFonts w:ascii="微软雅黑" w:hAnsi="微软雅黑" w:eastAsia="微软雅黑" w:cs="微软雅黑"/>
          <w:b/>
          <w:bCs/>
          <w:color w:val="32373F"/>
          <w:spacing w:val="56"/>
          <w:sz w:val="22"/>
          <w:szCs w:val="22"/>
        </w:rPr>
        <w:t xml:space="preserve"> </w:t>
      </w:r>
      <w:r>
        <w:rPr>
          <w:rFonts w:ascii="新宋体" w:hAnsi="新宋体" w:eastAsia="新宋体" w:cs="新宋体"/>
          <w:sz w:val="20"/>
          <w:szCs w:val="20"/>
          <w:shd w:val="clear" w:fill="F3F3F3"/>
        </w:rPr>
        <w:t>main</w:t>
      </w:r>
      <w:r>
        <w:rPr>
          <w:rFonts w:ascii="新宋体" w:hAnsi="新宋体" w:eastAsia="新宋体" w:cs="新宋体"/>
          <w:spacing w:val="9"/>
          <w:sz w:val="20"/>
          <w:szCs w:val="20"/>
          <w:shd w:val="clear" w:fill="F3F3F3"/>
        </w:rPr>
        <w:t xml:space="preserve"> </w:t>
      </w:r>
      <w:r>
        <w:rPr>
          <w:rFonts w:ascii="新宋体" w:hAnsi="新宋体" w:eastAsia="新宋体" w:cs="新宋体"/>
          <w:sz w:val="20"/>
          <w:szCs w:val="20"/>
          <w:shd w:val="clear" w:fill="F3F3F3"/>
        </w:rPr>
        <w:t>high</w:t>
      </w:r>
    </w:p>
    <w:p w14:paraId="0F241DB8">
      <w:pPr>
        <w:spacing w:before="155" w:line="187" w:lineRule="auto"/>
        <w:ind w:left="150"/>
        <w:rPr>
          <w:rFonts w:ascii="新宋体" w:hAnsi="新宋体" w:eastAsia="新宋体" w:cs="新宋体"/>
          <w:sz w:val="20"/>
          <w:szCs w:val="20"/>
        </w:rPr>
      </w:pPr>
      <w:r>
        <w:rPr>
          <w:rFonts w:ascii="微软雅黑" w:hAnsi="微软雅黑" w:eastAsia="微软雅黑" w:cs="微软雅黑"/>
          <w:color w:val="32373F"/>
          <w:position w:val="3"/>
          <w:sz w:val="22"/>
          <w:szCs w:val="22"/>
        </w:rPr>
        <w:drawing>
          <wp:inline distT="0" distB="0" distL="0" distR="0">
            <wp:extent cx="47625" cy="476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5"/>
          <w:sz w:val="22"/>
          <w:szCs w:val="22"/>
        </w:rPr>
        <w:t xml:space="preserve">  </w:t>
      </w:r>
      <w:r>
        <w:rPr>
          <w:rFonts w:ascii="微软雅黑" w:hAnsi="微软雅黑" w:eastAsia="微软雅黑" w:cs="微软雅黑"/>
          <w:b/>
          <w:bCs/>
          <w:color w:val="32373F"/>
          <w:spacing w:val="5"/>
          <w:sz w:val="22"/>
          <w:szCs w:val="22"/>
        </w:rPr>
        <w:t>主份低增益</w:t>
      </w:r>
      <w:r>
        <w:rPr>
          <w:rFonts w:ascii="微软雅黑" w:hAnsi="微软雅黑" w:eastAsia="微软雅黑" w:cs="微软雅黑"/>
          <w:b/>
          <w:bCs/>
          <w:color w:val="32373F"/>
          <w:spacing w:val="55"/>
          <w:sz w:val="22"/>
          <w:szCs w:val="22"/>
        </w:rPr>
        <w:t xml:space="preserve"> </w:t>
      </w:r>
      <w:r>
        <w:rPr>
          <w:rFonts w:ascii="新宋体" w:hAnsi="新宋体" w:eastAsia="新宋体" w:cs="新宋体"/>
          <w:sz w:val="20"/>
          <w:szCs w:val="20"/>
          <w:shd w:val="clear" w:fill="F3F3F3"/>
        </w:rPr>
        <w:t>main</w:t>
      </w:r>
      <w:r>
        <w:rPr>
          <w:rFonts w:ascii="新宋体" w:hAnsi="新宋体" w:eastAsia="新宋体" w:cs="新宋体"/>
          <w:spacing w:val="29"/>
          <w:sz w:val="20"/>
          <w:szCs w:val="20"/>
          <w:shd w:val="clear" w:fill="F3F3F3"/>
        </w:rPr>
        <w:t xml:space="preserve"> </w:t>
      </w:r>
      <w:r>
        <w:rPr>
          <w:rFonts w:ascii="新宋体" w:hAnsi="新宋体" w:eastAsia="新宋体" w:cs="新宋体"/>
          <w:sz w:val="20"/>
          <w:szCs w:val="20"/>
          <w:shd w:val="clear" w:fill="F3F3F3"/>
        </w:rPr>
        <w:t>low</w:t>
      </w:r>
    </w:p>
    <w:p w14:paraId="0FA98F03">
      <w:pPr>
        <w:spacing w:before="155" w:line="187" w:lineRule="auto"/>
        <w:ind w:left="150"/>
        <w:rPr>
          <w:rFonts w:ascii="新宋体" w:hAnsi="新宋体" w:eastAsia="新宋体" w:cs="新宋体"/>
          <w:sz w:val="20"/>
          <w:szCs w:val="20"/>
        </w:rPr>
      </w:pPr>
      <w:r>
        <w:rPr>
          <w:rFonts w:ascii="微软雅黑" w:hAnsi="微软雅黑" w:eastAsia="微软雅黑" w:cs="微软雅黑"/>
          <w:color w:val="32373F"/>
          <w:position w:val="3"/>
          <w:sz w:val="22"/>
          <w:szCs w:val="22"/>
        </w:rPr>
        <w:drawing>
          <wp:inline distT="0" distB="0" distL="0" distR="0">
            <wp:extent cx="47625" cy="476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5"/>
          <w:sz w:val="22"/>
          <w:szCs w:val="22"/>
        </w:rPr>
        <w:t xml:space="preserve">  </w:t>
      </w:r>
      <w:r>
        <w:rPr>
          <w:rFonts w:ascii="微软雅黑" w:hAnsi="微软雅黑" w:eastAsia="微软雅黑" w:cs="微软雅黑"/>
          <w:b/>
          <w:bCs/>
          <w:color w:val="32373F"/>
          <w:spacing w:val="11"/>
          <w:sz w:val="22"/>
          <w:szCs w:val="22"/>
        </w:rPr>
        <w:t>备份高增益</w:t>
      </w:r>
      <w:r>
        <w:rPr>
          <w:rFonts w:ascii="微软雅黑" w:hAnsi="微软雅黑" w:eastAsia="微软雅黑" w:cs="微软雅黑"/>
          <w:b/>
          <w:bCs/>
          <w:color w:val="32373F"/>
          <w:spacing w:val="58"/>
          <w:sz w:val="22"/>
          <w:szCs w:val="22"/>
        </w:rPr>
        <w:t xml:space="preserve"> </w:t>
      </w:r>
      <w:r>
        <w:rPr>
          <w:rFonts w:ascii="新宋体" w:hAnsi="新宋体" w:eastAsia="新宋体" w:cs="新宋体"/>
          <w:sz w:val="20"/>
          <w:szCs w:val="20"/>
          <w:shd w:val="clear" w:fill="F3F3F3"/>
        </w:rPr>
        <w:t>backup</w:t>
      </w:r>
      <w:r>
        <w:rPr>
          <w:rFonts w:ascii="新宋体" w:hAnsi="新宋体" w:eastAsia="新宋体" w:cs="新宋体"/>
          <w:spacing w:val="11"/>
          <w:sz w:val="20"/>
          <w:szCs w:val="20"/>
          <w:shd w:val="clear" w:fill="F3F3F3"/>
        </w:rPr>
        <w:t xml:space="preserve"> </w:t>
      </w:r>
      <w:r>
        <w:rPr>
          <w:rFonts w:ascii="新宋体" w:hAnsi="新宋体" w:eastAsia="新宋体" w:cs="新宋体"/>
          <w:sz w:val="20"/>
          <w:szCs w:val="20"/>
          <w:shd w:val="clear" w:fill="F3F3F3"/>
        </w:rPr>
        <w:t>high</w:t>
      </w:r>
    </w:p>
    <w:p w14:paraId="26853350">
      <w:pPr>
        <w:spacing w:before="157" w:line="186" w:lineRule="auto"/>
        <w:ind w:left="150"/>
        <w:rPr>
          <w:rFonts w:ascii="新宋体" w:hAnsi="新宋体" w:eastAsia="新宋体" w:cs="新宋体"/>
          <w:sz w:val="20"/>
          <w:szCs w:val="20"/>
        </w:rPr>
      </w:pPr>
      <w:r>
        <w:rPr>
          <w:rFonts w:ascii="微软雅黑" w:hAnsi="微软雅黑" w:eastAsia="微软雅黑" w:cs="微软雅黑"/>
          <w:color w:val="32373F"/>
          <w:position w:val="3"/>
          <w:sz w:val="22"/>
          <w:szCs w:val="22"/>
        </w:rPr>
        <w:drawing>
          <wp:inline distT="0" distB="0" distL="0" distR="0">
            <wp:extent cx="47625" cy="476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
                    <a:stretch>
                      <a:fillRect/>
                    </a:stretch>
                  </pic:blipFill>
                  <pic:spPr>
                    <a:xfrm>
                      <a:off x="0" y="0"/>
                      <a:ext cx="47625" cy="47625"/>
                    </a:xfrm>
                    <a:prstGeom prst="rect">
                      <a:avLst/>
                    </a:prstGeom>
                  </pic:spPr>
                </pic:pic>
              </a:graphicData>
            </a:graphic>
          </wp:inline>
        </w:drawing>
      </w:r>
      <w:r>
        <w:rPr>
          <w:rFonts w:ascii="微软雅黑" w:hAnsi="微软雅黑" w:eastAsia="微软雅黑" w:cs="微软雅黑"/>
          <w:b/>
          <w:bCs/>
          <w:color w:val="32373F"/>
          <w:spacing w:val="16"/>
          <w:w w:val="101"/>
          <w:sz w:val="22"/>
          <w:szCs w:val="22"/>
        </w:rPr>
        <w:t xml:space="preserve">  </w:t>
      </w:r>
      <w:r>
        <w:rPr>
          <w:rFonts w:ascii="微软雅黑" w:hAnsi="微软雅黑" w:eastAsia="微软雅黑" w:cs="微软雅黑"/>
          <w:b/>
          <w:bCs/>
          <w:color w:val="32373F"/>
          <w:spacing w:val="6"/>
          <w:sz w:val="22"/>
          <w:szCs w:val="22"/>
        </w:rPr>
        <w:t>备份低增益</w:t>
      </w:r>
      <w:r>
        <w:rPr>
          <w:rFonts w:ascii="微软雅黑" w:hAnsi="微软雅黑" w:eastAsia="微软雅黑" w:cs="微软雅黑"/>
          <w:b/>
          <w:bCs/>
          <w:color w:val="32373F"/>
          <w:spacing w:val="57"/>
          <w:sz w:val="22"/>
          <w:szCs w:val="22"/>
        </w:rPr>
        <w:t xml:space="preserve"> </w:t>
      </w:r>
      <w:r>
        <w:rPr>
          <w:rFonts w:ascii="新宋体" w:hAnsi="新宋体" w:eastAsia="新宋体" w:cs="新宋体"/>
          <w:sz w:val="20"/>
          <w:szCs w:val="20"/>
          <w:shd w:val="clear" w:fill="F3F3F3"/>
        </w:rPr>
        <w:t>backup</w:t>
      </w:r>
      <w:r>
        <w:rPr>
          <w:rFonts w:ascii="新宋体" w:hAnsi="新宋体" w:eastAsia="新宋体" w:cs="新宋体"/>
          <w:spacing w:val="28"/>
          <w:sz w:val="20"/>
          <w:szCs w:val="20"/>
          <w:shd w:val="clear" w:fill="F3F3F3"/>
        </w:rPr>
        <w:t xml:space="preserve"> </w:t>
      </w:r>
      <w:r>
        <w:rPr>
          <w:rFonts w:ascii="新宋体" w:hAnsi="新宋体" w:eastAsia="新宋体" w:cs="新宋体"/>
          <w:sz w:val="20"/>
          <w:szCs w:val="20"/>
          <w:shd w:val="clear" w:fill="F3F3F3"/>
        </w:rPr>
        <w:t>low</w:t>
      </w:r>
    </w:p>
    <w:p w14:paraId="2E678191">
      <w:pPr>
        <w:spacing w:before="154" w:line="30" w:lineRule="exact"/>
      </w:pPr>
      <w:r>
        <w:drawing>
          <wp:inline distT="0" distB="0" distL="0" distR="0">
            <wp:extent cx="6572250" cy="190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
                    <a:stretch>
                      <a:fillRect/>
                    </a:stretch>
                  </pic:blipFill>
                  <pic:spPr>
                    <a:xfrm>
                      <a:off x="0" y="0"/>
                      <a:ext cx="6572250" cy="19050"/>
                    </a:xfrm>
                    <a:prstGeom prst="rect">
                      <a:avLst/>
                    </a:prstGeom>
                  </pic:spPr>
                </pic:pic>
              </a:graphicData>
            </a:graphic>
          </wp:inline>
        </w:drawing>
      </w:r>
    </w:p>
    <w:p w14:paraId="096D200A">
      <w:pPr>
        <w:pStyle w:val="2"/>
        <w:spacing w:before="184" w:line="324" w:lineRule="auto"/>
        <w:ind w:left="7" w:right="6862" w:firstLine="2"/>
        <w:outlineLvl w:val="3"/>
        <w:rPr>
          <w:rFonts w:ascii="微软雅黑" w:hAnsi="微软雅黑" w:eastAsia="微软雅黑" w:cs="微软雅黑"/>
        </w:rPr>
      </w:pPr>
      <w:r>
        <w:rPr>
          <w:b/>
          <w:bCs/>
          <w:color w:val="32373F"/>
          <w:spacing w:val="3"/>
        </w:rPr>
        <w:t xml:space="preserve">5.1.1 </w:t>
      </w:r>
      <w:r>
        <w:rPr>
          <w:rFonts w:ascii="微软雅黑" w:hAnsi="微软雅黑" w:eastAsia="微软雅黑" w:cs="微软雅黑"/>
          <w:b/>
          <w:bCs/>
          <w:color w:val="32373F"/>
          <w:spacing w:val="3"/>
        </w:rPr>
        <w:t>主份高增益基线及时间稳定性台基分布</w:t>
      </w:r>
    </w:p>
    <w:p w14:paraId="5CCD1AA7">
      <w:pPr>
        <w:spacing w:before="87" w:line="10170" w:lineRule="exact"/>
      </w:pPr>
      <w:r>
        <w:rPr>
          <w:position w:val="-203"/>
        </w:rPr>
        <w:drawing>
          <wp:inline distT="0" distB="0" distL="0" distR="0">
            <wp:extent cx="6572250" cy="64579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5"/>
                    <a:stretch>
                      <a:fillRect/>
                    </a:stretch>
                  </pic:blipFill>
                  <pic:spPr>
                    <a:xfrm>
                      <a:off x="0" y="0"/>
                      <a:ext cx="6572250" cy="6457950"/>
                    </a:xfrm>
                    <a:prstGeom prst="rect">
                      <a:avLst/>
                    </a:prstGeom>
                  </pic:spPr>
                </pic:pic>
              </a:graphicData>
            </a:graphic>
          </wp:inline>
        </w:drawing>
      </w:r>
    </w:p>
    <w:p w14:paraId="0AA264EC">
      <w:pPr>
        <w:pStyle w:val="2"/>
        <w:rPr>
          <w:sz w:val="21"/>
        </w:rPr>
      </w:pPr>
    </w:p>
    <w:p w14:paraId="435592F8">
      <w:pPr>
        <w:pStyle w:val="2"/>
        <w:spacing w:before="95" w:line="245" w:lineRule="auto"/>
        <w:ind w:left="10" w:right="74" w:hanging="6"/>
        <w:jc w:val="both"/>
        <w:rPr>
          <w:rFonts w:ascii="微软雅黑" w:hAnsi="微软雅黑" w:eastAsia="微软雅黑" w:cs="微软雅黑"/>
        </w:rPr>
      </w:pPr>
      <w:r>
        <w:rPr>
          <w:rFonts w:ascii="微软雅黑" w:hAnsi="微软雅黑" w:eastAsia="微软雅黑" w:cs="微软雅黑"/>
          <w:color w:val="32373F"/>
          <w:spacing w:val="5"/>
        </w:rPr>
        <w:t xml:space="preserve">高温保持阶段主份高增益读出链路 </w:t>
      </w:r>
      <w:r>
        <w:rPr>
          <w:color w:val="32373F"/>
          <w:spacing w:val="5"/>
        </w:rPr>
        <w:t xml:space="preserve">25 </w:t>
      </w:r>
      <w:r>
        <w:rPr>
          <w:rFonts w:ascii="微软雅黑" w:hAnsi="微软雅黑" w:eastAsia="微软雅黑" w:cs="微软雅黑"/>
          <w:color w:val="32373F"/>
          <w:spacing w:val="5"/>
        </w:rPr>
        <w:t>个晶体通道的台</w:t>
      </w:r>
      <w:r>
        <w:rPr>
          <w:rFonts w:ascii="微软雅黑" w:hAnsi="微软雅黑" w:eastAsia="微软雅黑" w:cs="微软雅黑"/>
          <w:color w:val="32373F"/>
          <w:spacing w:val="4"/>
        </w:rPr>
        <w:t>基分布均呈清晰单峰结构，高斯拟合曲线与数据点</w:t>
      </w:r>
      <w:r>
        <w:rPr>
          <w:rFonts w:ascii="微软雅黑" w:hAnsi="微软雅黑" w:eastAsia="微软雅黑" w:cs="微软雅黑"/>
          <w:color w:val="32373F"/>
          <w:spacing w:val="5"/>
        </w:rPr>
        <w:t>吻合良好，峰形对称，无双峰、异常长尾或离散噪声峰，全部通道正常读出</w:t>
      </w:r>
      <w:r>
        <w:rPr>
          <w:rFonts w:ascii="微软雅黑" w:hAnsi="微软雅黑" w:eastAsia="微软雅黑" w:cs="微软雅黑"/>
          <w:color w:val="32373F"/>
          <w:spacing w:val="4"/>
        </w:rPr>
        <w:t>。各通道台基均值分布在约</w:t>
      </w:r>
      <w:r>
        <w:rPr>
          <w:rFonts w:ascii="微软雅黑" w:hAnsi="微软雅黑" w:eastAsia="微软雅黑" w:cs="微软雅黑"/>
          <w:color w:val="32373F"/>
        </w:rPr>
        <w:t xml:space="preserve"> </w:t>
      </w:r>
      <w:r>
        <w:rPr>
          <w:color w:val="32373F"/>
          <w:spacing w:val="4"/>
        </w:rPr>
        <w:t xml:space="preserve">795–1183 </w:t>
      </w:r>
      <w:r>
        <w:rPr>
          <w:color w:val="32373F"/>
        </w:rPr>
        <w:t>ADC</w:t>
      </w:r>
      <w:r>
        <w:rPr>
          <w:color w:val="32373F"/>
          <w:spacing w:val="4"/>
        </w:rPr>
        <w:t xml:space="preserve"> </w:t>
      </w:r>
      <w:r>
        <w:rPr>
          <w:rFonts w:ascii="微软雅黑" w:hAnsi="微软雅黑" w:eastAsia="微软雅黑" w:cs="微软雅黑"/>
          <w:color w:val="32373F"/>
          <w:spacing w:val="4"/>
        </w:rPr>
        <w:t>之间，通道间台基偏置反映各通道前端电子学固有差异，属正常特性。高斯拟合宽度集</w:t>
      </w:r>
    </w:p>
    <w:p w14:paraId="311BDB56">
      <w:pPr>
        <w:spacing w:line="245" w:lineRule="auto"/>
        <w:rPr>
          <w:rFonts w:ascii="微软雅黑" w:hAnsi="微软雅黑" w:eastAsia="微软雅黑" w:cs="微软雅黑"/>
        </w:rPr>
        <w:sectPr>
          <w:pgSz w:w="11919" w:h="16858"/>
          <w:pgMar w:top="519" w:right="783" w:bottom="0" w:left="785" w:header="0" w:footer="0" w:gutter="0"/>
          <w:cols w:space="720" w:num="1"/>
        </w:sectPr>
      </w:pPr>
    </w:p>
    <w:p w14:paraId="385BB71C">
      <w:pPr>
        <w:pStyle w:val="2"/>
        <w:spacing w:before="63" w:line="241" w:lineRule="auto"/>
        <w:ind w:left="3" w:firstLine="14"/>
        <w:rPr>
          <w:rFonts w:ascii="微软雅黑" w:hAnsi="微软雅黑" w:eastAsia="微软雅黑" w:cs="微软雅黑"/>
        </w:rPr>
      </w:pPr>
      <w:r>
        <w:rPr>
          <w:rFonts w:ascii="微软雅黑" w:hAnsi="微软雅黑" w:eastAsia="微软雅黑" w:cs="微软雅黑"/>
          <w:color w:val="32373F"/>
          <w:spacing w:val="4"/>
        </w:rPr>
        <w:t xml:space="preserve">中在约 </w:t>
      </w:r>
      <w:r>
        <w:rPr>
          <w:color w:val="32373F"/>
          <w:spacing w:val="4"/>
        </w:rPr>
        <w:t xml:space="preserve">25.9–30.7 </w:t>
      </w:r>
      <w:r>
        <w:rPr>
          <w:color w:val="32373F"/>
        </w:rPr>
        <w:t>ADC</w:t>
      </w:r>
      <w:r>
        <w:rPr>
          <w:color w:val="32373F"/>
          <w:spacing w:val="4"/>
        </w:rPr>
        <w:t xml:space="preserve"> </w:t>
      </w:r>
      <w:r>
        <w:rPr>
          <w:rFonts w:ascii="微软雅黑" w:hAnsi="微软雅黑" w:eastAsia="微软雅黑" w:cs="微软雅黑"/>
          <w:color w:val="32373F"/>
          <w:spacing w:val="4"/>
        </w:rPr>
        <w:t>之间，与热循环实验高温阶段的对应结果（</w:t>
      </w:r>
      <w:r>
        <w:rPr>
          <w:color w:val="32373F"/>
          <w:spacing w:val="4"/>
        </w:rPr>
        <w:t>24.7–2</w:t>
      </w:r>
      <w:r>
        <w:rPr>
          <w:color w:val="32373F"/>
          <w:spacing w:val="3"/>
        </w:rPr>
        <w:t xml:space="preserve">7.4 </w:t>
      </w:r>
      <w:r>
        <w:rPr>
          <w:color w:val="32373F"/>
        </w:rPr>
        <w:t>ADC</w:t>
      </w:r>
      <w:r>
        <w:rPr>
          <w:rFonts w:ascii="微软雅黑" w:hAnsi="微软雅黑" w:eastAsia="微软雅黑" w:cs="微软雅黑"/>
          <w:color w:val="32373F"/>
          <w:spacing w:val="3"/>
        </w:rPr>
        <w:t>）相比略有增大，这</w:t>
      </w:r>
      <w:r>
        <w:rPr>
          <w:rFonts w:ascii="微软雅黑" w:hAnsi="微软雅黑" w:eastAsia="微软雅黑" w:cs="微软雅黑"/>
          <w:color w:val="32373F"/>
          <w:spacing w:val="5"/>
        </w:rPr>
        <w:t>与热真空环境下真空条件改变散热状态、前端电子学工作点有所偏移有关，但各通道拟合宽度</w:t>
      </w:r>
      <w:r>
        <w:rPr>
          <w:rFonts w:ascii="微软雅黑" w:hAnsi="微软雅黑" w:eastAsia="微软雅黑" w:cs="微软雅黑"/>
          <w:color w:val="32373F"/>
          <w:spacing w:val="4"/>
        </w:rPr>
        <w:t>仍在合理范</w:t>
      </w:r>
      <w:r>
        <w:rPr>
          <w:rFonts w:ascii="微软雅黑" w:hAnsi="微软雅黑" w:eastAsia="微软雅黑" w:cs="微软雅黑"/>
          <w:color w:val="32373F"/>
          <w:spacing w:val="1"/>
        </w:rPr>
        <w:t>围内，未发现异常展宽通道。</w:t>
      </w:r>
    </w:p>
    <w:p w14:paraId="0B9BA32B">
      <w:pPr>
        <w:spacing w:before="281"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台基均值时间稳定性</w:t>
      </w:r>
    </w:p>
    <w:p w14:paraId="55297691">
      <w:pPr>
        <w:pStyle w:val="2"/>
        <w:spacing w:line="316" w:lineRule="auto"/>
        <w:rPr>
          <w:sz w:val="21"/>
        </w:rPr>
      </w:pPr>
    </w:p>
    <w:p w14:paraId="4EB3BAB2">
      <w:pPr>
        <w:spacing w:line="8850" w:lineRule="exact"/>
      </w:pPr>
      <w:r>
        <w:rPr>
          <w:position w:val="-177"/>
        </w:rPr>
        <w:drawing>
          <wp:inline distT="0" distB="0" distL="0" distR="0">
            <wp:extent cx="6572250" cy="56197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6"/>
                    <a:stretch>
                      <a:fillRect/>
                    </a:stretch>
                  </pic:blipFill>
                  <pic:spPr>
                    <a:xfrm>
                      <a:off x="0" y="0"/>
                      <a:ext cx="6572250" cy="5619750"/>
                    </a:xfrm>
                    <a:prstGeom prst="rect">
                      <a:avLst/>
                    </a:prstGeom>
                  </pic:spPr>
                </pic:pic>
              </a:graphicData>
            </a:graphic>
          </wp:inline>
        </w:drawing>
      </w:r>
    </w:p>
    <w:p w14:paraId="5A9B8F18">
      <w:pPr>
        <w:pStyle w:val="2"/>
        <w:rPr>
          <w:sz w:val="21"/>
        </w:rPr>
      </w:pPr>
    </w:p>
    <w:p w14:paraId="26BA8C4D">
      <w:pPr>
        <w:pStyle w:val="2"/>
        <w:spacing w:before="94" w:line="235" w:lineRule="auto"/>
        <w:ind w:left="1" w:right="61"/>
        <w:rPr>
          <w:rFonts w:ascii="微软雅黑" w:hAnsi="微软雅黑" w:eastAsia="微软雅黑" w:cs="微软雅黑"/>
        </w:rPr>
      </w:pPr>
      <w:r>
        <w:rPr>
          <w:rFonts w:ascii="微软雅黑" w:hAnsi="微软雅黑" w:eastAsia="微软雅黑" w:cs="微软雅黑"/>
          <w:color w:val="32373F"/>
          <w:spacing w:val="4"/>
        </w:rPr>
        <w:t>各晶体通道的拟合宽度（蓝色点）在热真空全程中维持在约</w:t>
      </w:r>
      <w:r>
        <w:rPr>
          <w:rFonts w:ascii="微软雅黑" w:hAnsi="微软雅黑" w:eastAsia="微软雅黑" w:cs="微软雅黑"/>
          <w:color w:val="32373F"/>
          <w:spacing w:val="34"/>
        </w:rPr>
        <w:t xml:space="preserve"> </w:t>
      </w:r>
      <w:r>
        <w:rPr>
          <w:color w:val="32373F"/>
          <w:spacing w:val="4"/>
        </w:rPr>
        <w:t xml:space="preserve">18–32 </w:t>
      </w:r>
      <w:r>
        <w:rPr>
          <w:color w:val="32373F"/>
        </w:rPr>
        <w:t>ADC</w:t>
      </w:r>
      <w:r>
        <w:rPr>
          <w:color w:val="32373F"/>
          <w:spacing w:val="4"/>
        </w:rPr>
        <w:t xml:space="preserve"> </w:t>
      </w:r>
      <w:r>
        <w:rPr>
          <w:rFonts w:ascii="微软雅黑" w:hAnsi="微软雅黑" w:eastAsia="微软雅黑" w:cs="微软雅黑"/>
          <w:color w:val="32373F"/>
          <w:spacing w:val="4"/>
        </w:rPr>
        <w:t xml:space="preserve">范围内，随时间呈现一定幅度的周期性起伏，幅度约为 </w:t>
      </w:r>
      <w:r>
        <w:rPr>
          <w:color w:val="32373F"/>
          <w:spacing w:val="4"/>
        </w:rPr>
        <w:t xml:space="preserve">±3–5 </w:t>
      </w:r>
      <w:r>
        <w:rPr>
          <w:color w:val="32373F"/>
        </w:rPr>
        <w:t>ADC</w:t>
      </w:r>
      <w:r>
        <w:rPr>
          <w:rFonts w:ascii="微软雅黑" w:hAnsi="微软雅黑" w:eastAsia="微软雅黑" w:cs="微软雅黑"/>
          <w:color w:val="32373F"/>
          <w:spacing w:val="4"/>
        </w:rPr>
        <w:t>，与热循环实验相比波动幅度</w:t>
      </w:r>
      <w:r>
        <w:rPr>
          <w:rFonts w:ascii="微软雅黑" w:hAnsi="微软雅黑" w:eastAsia="微软雅黑" w:cs="微软雅黑"/>
          <w:color w:val="32373F"/>
          <w:spacing w:val="3"/>
        </w:rPr>
        <w:t>略大，但无持续性异常展宽趋势。</w:t>
      </w:r>
    </w:p>
    <w:p w14:paraId="7130DDFB">
      <w:pPr>
        <w:pStyle w:val="2"/>
        <w:spacing w:before="281" w:line="235" w:lineRule="auto"/>
        <w:ind w:left="3"/>
        <w:rPr>
          <w:rFonts w:ascii="微软雅黑" w:hAnsi="微软雅黑" w:eastAsia="微软雅黑" w:cs="微软雅黑"/>
        </w:rPr>
      </w:pPr>
      <w:r>
        <w:rPr>
          <w:rFonts w:ascii="微软雅黑" w:hAnsi="微软雅黑" w:eastAsia="微软雅黑" w:cs="微软雅黑"/>
          <w:color w:val="32373F"/>
          <w:spacing w:val="3"/>
        </w:rPr>
        <w:t xml:space="preserve">相对波动量（红色线）多数通道在 </w:t>
      </w:r>
      <w:r>
        <w:rPr>
          <w:color w:val="32373F"/>
          <w:spacing w:val="3"/>
        </w:rPr>
        <w:t xml:space="preserve">±0.3 </w:t>
      </w:r>
      <w:r>
        <w:rPr>
          <w:rFonts w:ascii="微软雅黑" w:hAnsi="微软雅黑" w:eastAsia="微软雅黑" w:cs="微软雅黑"/>
          <w:color w:val="32373F"/>
          <w:spacing w:val="3"/>
        </w:rPr>
        <w:t>以内，偶有超出但持续时间短暂，属偶发性散布。</w:t>
      </w:r>
    </w:p>
    <w:p w14:paraId="1AB29021">
      <w:pPr>
        <w:spacing w:before="332"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台基均值时间稳定性</w:t>
      </w:r>
    </w:p>
    <w:p w14:paraId="785DA699">
      <w:pPr>
        <w:spacing w:line="187" w:lineRule="auto"/>
        <w:rPr>
          <w:rFonts w:ascii="微软雅黑" w:hAnsi="微软雅黑" w:eastAsia="微软雅黑" w:cs="微软雅黑"/>
          <w:sz w:val="22"/>
          <w:szCs w:val="22"/>
        </w:rPr>
        <w:sectPr>
          <w:pgSz w:w="11919" w:h="16858"/>
          <w:pgMar w:top="519" w:right="783" w:bottom="0" w:left="785" w:header="0" w:footer="0" w:gutter="0"/>
          <w:cols w:space="720" w:num="1"/>
        </w:sectPr>
      </w:pPr>
    </w:p>
    <w:p w14:paraId="33367A70">
      <w:pPr>
        <w:spacing w:line="8864" w:lineRule="exact"/>
      </w:pPr>
      <w:r>
        <w:rPr>
          <w:position w:val="-177"/>
        </w:rPr>
        <w:drawing>
          <wp:inline distT="0" distB="0" distL="0" distR="0">
            <wp:extent cx="6572250" cy="56286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
                    <a:stretch>
                      <a:fillRect/>
                    </a:stretch>
                  </pic:blipFill>
                  <pic:spPr>
                    <a:xfrm>
                      <a:off x="0" y="0"/>
                      <a:ext cx="6572250" cy="5629273"/>
                    </a:xfrm>
                    <a:prstGeom prst="rect">
                      <a:avLst/>
                    </a:prstGeom>
                  </pic:spPr>
                </pic:pic>
              </a:graphicData>
            </a:graphic>
          </wp:inline>
        </w:drawing>
      </w:r>
    </w:p>
    <w:p w14:paraId="08C22738">
      <w:pPr>
        <w:pStyle w:val="2"/>
        <w:spacing w:before="322" w:line="232" w:lineRule="auto"/>
        <w:ind w:left="2"/>
        <w:jc w:val="both"/>
        <w:rPr>
          <w:rFonts w:ascii="微软雅黑" w:hAnsi="微软雅黑" w:eastAsia="微软雅黑" w:cs="微软雅黑"/>
        </w:rPr>
      </w:pPr>
      <w:r>
        <w:rPr>
          <w:color w:val="32373F"/>
          <w:spacing w:val="3"/>
        </w:rPr>
        <w:t xml:space="preserve">4 </w:t>
      </w:r>
      <w:r>
        <w:rPr>
          <w:rFonts w:ascii="微软雅黑" w:hAnsi="微软雅黑" w:eastAsia="微软雅黑" w:cs="微软雅黑"/>
          <w:color w:val="32373F"/>
          <w:spacing w:val="3"/>
        </w:rPr>
        <w:t xml:space="preserve">月 </w:t>
      </w:r>
      <w:r>
        <w:rPr>
          <w:color w:val="32373F"/>
          <w:spacing w:val="3"/>
        </w:rPr>
        <w:t>2</w:t>
      </w:r>
      <w:r>
        <w:rPr>
          <w:color w:val="32373F"/>
          <w:spacing w:val="36"/>
        </w:rPr>
        <w:t xml:space="preserve"> </w:t>
      </w:r>
      <w:r>
        <w:rPr>
          <w:rFonts w:ascii="微软雅黑" w:hAnsi="微软雅黑" w:eastAsia="微软雅黑" w:cs="微软雅黑"/>
          <w:color w:val="32373F"/>
          <w:spacing w:val="3"/>
        </w:rPr>
        <w:t xml:space="preserve">日至 </w:t>
      </w:r>
      <w:r>
        <w:rPr>
          <w:color w:val="32373F"/>
          <w:spacing w:val="3"/>
        </w:rPr>
        <w:t>7</w:t>
      </w:r>
      <w:r>
        <w:rPr>
          <w:color w:val="32373F"/>
          <w:spacing w:val="36"/>
        </w:rPr>
        <w:t xml:space="preserve"> </w:t>
      </w:r>
      <w:r>
        <w:rPr>
          <w:rFonts w:ascii="微软雅黑" w:hAnsi="微软雅黑" w:eastAsia="微软雅黑" w:cs="微软雅黑"/>
          <w:color w:val="32373F"/>
          <w:spacing w:val="3"/>
        </w:rPr>
        <w:t>日热真空全程中，</w:t>
      </w:r>
      <w:r>
        <w:rPr>
          <w:color w:val="32373F"/>
          <w:spacing w:val="3"/>
        </w:rPr>
        <w:t xml:space="preserve">25 </w:t>
      </w:r>
      <w:r>
        <w:rPr>
          <w:rFonts w:ascii="微软雅黑" w:hAnsi="微软雅黑" w:eastAsia="微软雅黑" w:cs="微软雅黑"/>
          <w:color w:val="32373F"/>
          <w:spacing w:val="3"/>
        </w:rPr>
        <w:t>个晶体通道的台基均值（蓝色点）随时间呈现与热真</w:t>
      </w:r>
      <w:r>
        <w:rPr>
          <w:rFonts w:ascii="微软雅黑" w:hAnsi="微软雅黑" w:eastAsia="微软雅黑" w:cs="微软雅黑"/>
          <w:color w:val="32373F"/>
          <w:spacing w:val="2"/>
        </w:rPr>
        <w:t>空温度剖面高度</w:t>
      </w:r>
      <w:r>
        <w:rPr>
          <w:rFonts w:ascii="微软雅黑" w:hAnsi="微软雅黑" w:eastAsia="微软雅黑" w:cs="微软雅黑"/>
          <w:color w:val="32373F"/>
          <w:spacing w:val="5"/>
        </w:rPr>
        <w:t xml:space="preserve">对应的周期性波动，波动幅度约为 </w:t>
      </w:r>
      <w:r>
        <w:rPr>
          <w:color w:val="32373F"/>
          <w:spacing w:val="5"/>
        </w:rPr>
        <w:t>±50</w:t>
      </w:r>
      <w:r>
        <w:rPr>
          <w:color w:val="32373F"/>
          <w:spacing w:val="4"/>
        </w:rPr>
        <w:t xml:space="preserve">–150 </w:t>
      </w:r>
      <w:r>
        <w:rPr>
          <w:color w:val="32373F"/>
        </w:rPr>
        <w:t>ADC</w:t>
      </w:r>
      <w:r>
        <w:rPr>
          <w:rFonts w:ascii="微软雅黑" w:hAnsi="微软雅黑" w:eastAsia="微软雅黑" w:cs="微软雅黑"/>
          <w:color w:val="32373F"/>
          <w:spacing w:val="4"/>
        </w:rPr>
        <w:t>，在高温台阶与低温台阶之间可重复回归，未观测到系</w:t>
      </w:r>
      <w:r>
        <w:rPr>
          <w:rFonts w:ascii="微软雅黑" w:hAnsi="微软雅黑" w:eastAsia="微软雅黑" w:cs="微软雅黑"/>
          <w:color w:val="32373F"/>
          <w:spacing w:val="5"/>
        </w:rPr>
        <w:t>统性单向漂移。相对波动量（红色线）绝大多数通道</w:t>
      </w:r>
      <w:r>
        <w:rPr>
          <w:rFonts w:ascii="微软雅黑" w:hAnsi="微软雅黑" w:eastAsia="微软雅黑" w:cs="微软雅黑"/>
          <w:color w:val="32373F"/>
          <w:spacing w:val="4"/>
        </w:rPr>
        <w:t xml:space="preserve">控制在 </w:t>
      </w:r>
      <w:r>
        <w:rPr>
          <w:color w:val="32373F"/>
          <w:spacing w:val="4"/>
        </w:rPr>
        <w:t xml:space="preserve">±0.2 </w:t>
      </w:r>
      <w:r>
        <w:rPr>
          <w:rFonts w:ascii="微软雅黑" w:hAnsi="微软雅黑" w:eastAsia="微软雅黑" w:cs="微软雅黑"/>
          <w:color w:val="32373F"/>
          <w:spacing w:val="4"/>
        </w:rPr>
        <w:t>以内，波动形态与温度剖面一致。与热</w:t>
      </w:r>
      <w:r>
        <w:rPr>
          <w:rFonts w:ascii="微软雅黑" w:hAnsi="微软雅黑" w:eastAsia="微软雅黑" w:cs="微软雅黑"/>
          <w:color w:val="32373F"/>
          <w:spacing w:val="5"/>
        </w:rPr>
        <w:t>循环实验相比，本次热真空实验中台基均值的变化幅度略大，反映了真空环境下温度波动对电子</w:t>
      </w:r>
      <w:r>
        <w:rPr>
          <w:rFonts w:ascii="微软雅黑" w:hAnsi="微软雅黑" w:eastAsia="微软雅黑" w:cs="微软雅黑"/>
          <w:color w:val="32373F"/>
          <w:spacing w:val="4"/>
        </w:rPr>
        <w:t>学工作点</w:t>
      </w:r>
      <w:r>
        <w:rPr>
          <w:rFonts w:ascii="微软雅黑" w:hAnsi="微软雅黑" w:eastAsia="微软雅黑" w:cs="微软雅黑"/>
          <w:color w:val="32373F"/>
          <w:spacing w:val="3"/>
        </w:rPr>
        <w:t>的调制效应有所增强，但整体规律一致，可重复性良好。</w:t>
      </w:r>
    </w:p>
    <w:p w14:paraId="7C869771">
      <w:pPr>
        <w:pStyle w:val="2"/>
        <w:spacing w:line="251" w:lineRule="auto"/>
        <w:rPr>
          <w:sz w:val="21"/>
        </w:rPr>
      </w:pPr>
    </w:p>
    <w:p w14:paraId="5B337CE7">
      <w:pPr>
        <w:spacing w:line="30" w:lineRule="exact"/>
      </w:pPr>
      <w:r>
        <w:drawing>
          <wp:inline distT="0" distB="0" distL="0" distR="0">
            <wp:extent cx="6572250" cy="190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
                    <a:stretch>
                      <a:fillRect/>
                    </a:stretch>
                  </pic:blipFill>
                  <pic:spPr>
                    <a:xfrm>
                      <a:off x="0" y="0"/>
                      <a:ext cx="6572250" cy="19050"/>
                    </a:xfrm>
                    <a:prstGeom prst="rect">
                      <a:avLst/>
                    </a:prstGeom>
                  </pic:spPr>
                </pic:pic>
              </a:graphicData>
            </a:graphic>
          </wp:inline>
        </w:drawing>
      </w:r>
    </w:p>
    <w:p w14:paraId="18490D3A">
      <w:pPr>
        <w:pStyle w:val="2"/>
        <w:spacing w:before="182" w:line="334" w:lineRule="auto"/>
        <w:ind w:left="7" w:right="6862" w:firstLine="2"/>
        <w:outlineLvl w:val="3"/>
        <w:rPr>
          <w:rFonts w:ascii="微软雅黑" w:hAnsi="微软雅黑" w:eastAsia="微软雅黑" w:cs="微软雅黑"/>
        </w:rPr>
      </w:pPr>
      <w:r>
        <w:rPr>
          <w:b/>
          <w:bCs/>
          <w:color w:val="32373F"/>
          <w:spacing w:val="3"/>
        </w:rPr>
        <w:t xml:space="preserve">5.1.2 </w:t>
      </w:r>
      <w:r>
        <w:rPr>
          <w:rFonts w:ascii="微软雅黑" w:hAnsi="微软雅黑" w:eastAsia="微软雅黑" w:cs="微软雅黑"/>
          <w:b/>
          <w:bCs/>
          <w:color w:val="32373F"/>
          <w:spacing w:val="3"/>
        </w:rPr>
        <w:t>主份低增益基线及时间稳定性台基分布</w:t>
      </w:r>
    </w:p>
    <w:p w14:paraId="09C200D3">
      <w:pPr>
        <w:spacing w:line="334" w:lineRule="auto"/>
        <w:rPr>
          <w:rFonts w:ascii="微软雅黑" w:hAnsi="微软雅黑" w:eastAsia="微软雅黑" w:cs="微软雅黑"/>
        </w:rPr>
        <w:sectPr>
          <w:pgSz w:w="11919" w:h="16858"/>
          <w:pgMar w:top="560" w:right="783" w:bottom="0" w:left="785" w:header="0" w:footer="0" w:gutter="0"/>
          <w:cols w:space="720" w:num="1"/>
        </w:sectPr>
      </w:pPr>
    </w:p>
    <w:p w14:paraId="1C840856">
      <w:pPr>
        <w:spacing w:line="10184" w:lineRule="exact"/>
      </w:pPr>
      <w:r>
        <w:rPr>
          <w:position w:val="-203"/>
        </w:rPr>
        <w:drawing>
          <wp:inline distT="0" distB="0" distL="0" distR="0">
            <wp:extent cx="6572250" cy="64668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8"/>
                    <a:stretch>
                      <a:fillRect/>
                    </a:stretch>
                  </pic:blipFill>
                  <pic:spPr>
                    <a:xfrm>
                      <a:off x="0" y="0"/>
                      <a:ext cx="6572250" cy="6467473"/>
                    </a:xfrm>
                    <a:prstGeom prst="rect">
                      <a:avLst/>
                    </a:prstGeom>
                  </pic:spPr>
                </pic:pic>
              </a:graphicData>
            </a:graphic>
          </wp:inline>
        </w:drawing>
      </w:r>
    </w:p>
    <w:p w14:paraId="68C0B560">
      <w:pPr>
        <w:pStyle w:val="2"/>
        <w:spacing w:before="320" w:line="229" w:lineRule="auto"/>
        <w:ind w:left="4" w:right="74"/>
        <w:rPr>
          <w:rFonts w:ascii="微软雅黑" w:hAnsi="微软雅黑" w:eastAsia="微软雅黑" w:cs="微软雅黑"/>
        </w:rPr>
      </w:pPr>
      <w:r>
        <w:rPr>
          <w:rFonts w:ascii="微软雅黑" w:hAnsi="微软雅黑" w:eastAsia="微软雅黑" w:cs="微软雅黑"/>
          <w:color w:val="32373F"/>
          <w:spacing w:val="5"/>
        </w:rPr>
        <w:t xml:space="preserve">高温保持阶段主份低增益读出链路 </w:t>
      </w:r>
      <w:r>
        <w:rPr>
          <w:color w:val="32373F"/>
          <w:spacing w:val="5"/>
        </w:rPr>
        <w:t xml:space="preserve">25 </w:t>
      </w:r>
      <w:r>
        <w:rPr>
          <w:rFonts w:ascii="微软雅黑" w:hAnsi="微软雅黑" w:eastAsia="微软雅黑" w:cs="微软雅黑"/>
          <w:color w:val="32373F"/>
          <w:spacing w:val="5"/>
        </w:rPr>
        <w:t>个晶体通道的台</w:t>
      </w:r>
      <w:r>
        <w:rPr>
          <w:rFonts w:ascii="微软雅黑" w:hAnsi="微软雅黑" w:eastAsia="微软雅黑" w:cs="微软雅黑"/>
          <w:color w:val="32373F"/>
          <w:spacing w:val="4"/>
        </w:rPr>
        <w:t>基分布纵轴采用对数坐标呈现，各通道均表现为极</w:t>
      </w:r>
      <w:r>
        <w:rPr>
          <w:rFonts w:ascii="微软雅黑" w:hAnsi="微软雅黑" w:eastAsia="微软雅黑" w:cs="微软雅黑"/>
          <w:color w:val="32373F"/>
          <w:spacing w:val="5"/>
        </w:rPr>
        <w:t>窄的单峰结构，高斯拟合结果稳定，无异常旁峰或长尾，全部通道正常读出。各通道台基</w:t>
      </w:r>
      <w:r>
        <w:rPr>
          <w:rFonts w:ascii="微软雅黑" w:hAnsi="微软雅黑" w:eastAsia="微软雅黑" w:cs="微软雅黑"/>
          <w:color w:val="32373F"/>
          <w:spacing w:val="4"/>
        </w:rPr>
        <w:t>均值分布在约</w:t>
      </w:r>
    </w:p>
    <w:p w14:paraId="761FFAEA">
      <w:pPr>
        <w:pStyle w:val="2"/>
        <w:spacing w:before="1" w:line="238" w:lineRule="auto"/>
        <w:ind w:right="9" w:firstLine="8"/>
        <w:rPr>
          <w:rFonts w:ascii="微软雅黑" w:hAnsi="微软雅黑" w:eastAsia="微软雅黑" w:cs="微软雅黑"/>
        </w:rPr>
      </w:pPr>
      <w:r>
        <w:rPr>
          <w:color w:val="32373F"/>
          <w:spacing w:val="4"/>
        </w:rPr>
        <w:t xml:space="preserve">654–1416 </w:t>
      </w:r>
      <w:r>
        <w:rPr>
          <w:color w:val="32373F"/>
        </w:rPr>
        <w:t>ADC</w:t>
      </w:r>
      <w:r>
        <w:rPr>
          <w:color w:val="32373F"/>
          <w:spacing w:val="4"/>
        </w:rPr>
        <w:t xml:space="preserve"> </w:t>
      </w:r>
      <w:r>
        <w:rPr>
          <w:rFonts w:ascii="微软雅黑" w:hAnsi="微软雅黑" w:eastAsia="微软雅黑" w:cs="微软雅黑"/>
          <w:color w:val="32373F"/>
          <w:spacing w:val="4"/>
        </w:rPr>
        <w:t xml:space="preserve">之间，高斯拟合宽度集中在约 </w:t>
      </w:r>
      <w:r>
        <w:rPr>
          <w:color w:val="32373F"/>
          <w:spacing w:val="4"/>
        </w:rPr>
        <w:t xml:space="preserve">3.25–4.25 </w:t>
      </w:r>
      <w:r>
        <w:rPr>
          <w:color w:val="32373F"/>
        </w:rPr>
        <w:t>ADC</w:t>
      </w:r>
      <w:r>
        <w:rPr>
          <w:color w:val="32373F"/>
          <w:spacing w:val="4"/>
        </w:rPr>
        <w:t xml:space="preserve"> </w:t>
      </w:r>
      <w:r>
        <w:rPr>
          <w:rFonts w:ascii="微软雅黑" w:hAnsi="微软雅黑" w:eastAsia="微软雅黑" w:cs="微软雅黑"/>
          <w:color w:val="32373F"/>
          <w:spacing w:val="4"/>
        </w:rPr>
        <w:t>之间，与热循</w:t>
      </w:r>
      <w:r>
        <w:rPr>
          <w:rFonts w:ascii="微软雅黑" w:hAnsi="微软雅黑" w:eastAsia="微软雅黑" w:cs="微软雅黑"/>
          <w:color w:val="32373F"/>
          <w:spacing w:val="3"/>
        </w:rPr>
        <w:t>环实验对应结果（</w:t>
      </w:r>
      <w:r>
        <w:rPr>
          <w:color w:val="32373F"/>
          <w:spacing w:val="3"/>
        </w:rPr>
        <w:t>3.20–4.00</w:t>
      </w:r>
      <w:r>
        <w:rPr>
          <w:color w:val="32373F"/>
        </w:rPr>
        <w:t xml:space="preserve"> ADC</w:t>
      </w:r>
      <w:r>
        <w:rPr>
          <w:rFonts w:ascii="微软雅黑" w:hAnsi="微软雅黑" w:eastAsia="微软雅黑" w:cs="微软雅黑"/>
          <w:color w:val="32373F"/>
          <w:spacing w:val="4"/>
        </w:rPr>
        <w:t>）高度一致，表明真空环境对低增益链路基线噪声水平的影响极</w:t>
      </w:r>
      <w:r>
        <w:rPr>
          <w:rFonts w:ascii="微软雅黑" w:hAnsi="微软雅黑" w:eastAsia="微软雅黑" w:cs="微软雅黑"/>
          <w:color w:val="32373F"/>
          <w:spacing w:val="3"/>
        </w:rPr>
        <w:t>为有限。</w:t>
      </w:r>
    </w:p>
    <w:p w14:paraId="593C76DD">
      <w:pPr>
        <w:spacing w:before="311"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台基均值时间稳定性</w:t>
      </w:r>
    </w:p>
    <w:p w14:paraId="3BED7EAB">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146D1784">
      <w:pPr>
        <w:spacing w:line="8864" w:lineRule="exact"/>
      </w:pPr>
      <w:r>
        <w:rPr>
          <w:position w:val="-177"/>
        </w:rPr>
        <w:drawing>
          <wp:inline distT="0" distB="0" distL="0" distR="0">
            <wp:extent cx="6572250" cy="56286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
                    <a:stretch>
                      <a:fillRect/>
                    </a:stretch>
                  </pic:blipFill>
                  <pic:spPr>
                    <a:xfrm>
                      <a:off x="0" y="0"/>
                      <a:ext cx="6572250" cy="5629273"/>
                    </a:xfrm>
                    <a:prstGeom prst="rect">
                      <a:avLst/>
                    </a:prstGeom>
                  </pic:spPr>
                </pic:pic>
              </a:graphicData>
            </a:graphic>
          </wp:inline>
        </w:drawing>
      </w:r>
    </w:p>
    <w:p w14:paraId="606C357B">
      <w:pPr>
        <w:pStyle w:val="2"/>
        <w:spacing w:before="320" w:line="233" w:lineRule="auto"/>
        <w:ind w:left="1" w:right="3" w:firstLine="4"/>
        <w:jc w:val="both"/>
        <w:rPr>
          <w:rFonts w:ascii="微软雅黑" w:hAnsi="微软雅黑" w:eastAsia="微软雅黑" w:cs="微软雅黑"/>
        </w:rPr>
      </w:pPr>
      <w:r>
        <w:rPr>
          <w:rFonts w:ascii="微软雅黑" w:hAnsi="微软雅黑" w:eastAsia="微软雅黑" w:cs="微软雅黑"/>
          <w:color w:val="32373F"/>
          <w:spacing w:val="5"/>
        </w:rPr>
        <w:t>热真空全程中，各通道台基均值随温度剖面呈现规律</w:t>
      </w:r>
      <w:r>
        <w:rPr>
          <w:rFonts w:ascii="微软雅黑" w:hAnsi="微软雅黑" w:eastAsia="微软雅黑" w:cs="微软雅黑"/>
          <w:color w:val="32373F"/>
          <w:spacing w:val="4"/>
        </w:rPr>
        <w:t xml:space="preserve">性周期波动，波动幅度约为 </w:t>
      </w:r>
      <w:r>
        <w:rPr>
          <w:color w:val="32373F"/>
          <w:spacing w:val="4"/>
        </w:rPr>
        <w:t xml:space="preserve">±20–80 </w:t>
      </w:r>
      <w:r>
        <w:rPr>
          <w:color w:val="32373F"/>
        </w:rPr>
        <w:t>ADC</w:t>
      </w:r>
      <w:r>
        <w:rPr>
          <w:rFonts w:ascii="微软雅黑" w:hAnsi="微软雅黑" w:eastAsia="微软雅黑" w:cs="微软雅黑"/>
          <w:color w:val="32373F"/>
          <w:spacing w:val="4"/>
        </w:rPr>
        <w:t>，在相同温度台阶下具有良好的可重复性，无系统性单向漂移。部分通道（如第</w:t>
      </w:r>
      <w:r>
        <w:rPr>
          <w:rFonts w:ascii="微软雅黑" w:hAnsi="微软雅黑" w:eastAsia="微软雅黑" w:cs="微软雅黑"/>
          <w:color w:val="32373F"/>
          <w:spacing w:val="34"/>
        </w:rPr>
        <w:t xml:space="preserve"> </w:t>
      </w:r>
      <w:r>
        <w:rPr>
          <w:color w:val="32373F"/>
          <w:spacing w:val="4"/>
        </w:rPr>
        <w:t xml:space="preserve">15 </w:t>
      </w:r>
      <w:r>
        <w:rPr>
          <w:rFonts w:ascii="微软雅黑" w:hAnsi="微软雅黑" w:eastAsia="微软雅黑" w:cs="微软雅黑"/>
          <w:color w:val="32373F"/>
          <w:spacing w:val="4"/>
        </w:rPr>
        <w:t>号晶体）在监测后期台基均值有轻微抬升趋势，建议结合后续状态量日志进一步核查。相对波动量整</w:t>
      </w:r>
      <w:r>
        <w:rPr>
          <w:rFonts w:ascii="微软雅黑" w:hAnsi="微软雅黑" w:eastAsia="微软雅黑" w:cs="微软雅黑"/>
          <w:color w:val="32373F"/>
          <w:spacing w:val="3"/>
        </w:rPr>
        <w:t xml:space="preserve">体控制在 </w:t>
      </w:r>
      <w:r>
        <w:rPr>
          <w:color w:val="32373F"/>
          <w:spacing w:val="3"/>
        </w:rPr>
        <w:t xml:space="preserve">±0.2 </w:t>
      </w:r>
      <w:r>
        <w:rPr>
          <w:rFonts w:ascii="微软雅黑" w:hAnsi="微软雅黑" w:eastAsia="微软雅黑" w:cs="微软雅黑"/>
          <w:color w:val="32373F"/>
          <w:spacing w:val="3"/>
        </w:rPr>
        <w:t>以内。</w:t>
      </w:r>
    </w:p>
    <w:p w14:paraId="4F38B217">
      <w:pPr>
        <w:spacing w:before="322"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台基拟合宽度时间稳定性</w:t>
      </w:r>
    </w:p>
    <w:p w14:paraId="6A31C384">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3AA7EA31">
      <w:pPr>
        <w:spacing w:line="8864" w:lineRule="exact"/>
      </w:pPr>
      <w:r>
        <w:rPr>
          <w:position w:val="-177"/>
        </w:rPr>
        <w:drawing>
          <wp:inline distT="0" distB="0" distL="0" distR="0">
            <wp:extent cx="6572250" cy="56286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0"/>
                    <a:stretch>
                      <a:fillRect/>
                    </a:stretch>
                  </pic:blipFill>
                  <pic:spPr>
                    <a:xfrm>
                      <a:off x="0" y="0"/>
                      <a:ext cx="6572250" cy="5629273"/>
                    </a:xfrm>
                    <a:prstGeom prst="rect">
                      <a:avLst/>
                    </a:prstGeom>
                  </pic:spPr>
                </pic:pic>
              </a:graphicData>
            </a:graphic>
          </wp:inline>
        </w:drawing>
      </w:r>
    </w:p>
    <w:p w14:paraId="28A8B4B7">
      <w:pPr>
        <w:pStyle w:val="2"/>
        <w:spacing w:before="322" w:line="231" w:lineRule="auto"/>
        <w:ind w:left="3" w:right="72" w:hanging="2"/>
        <w:jc w:val="both"/>
        <w:rPr>
          <w:rFonts w:ascii="微软雅黑" w:hAnsi="微软雅黑" w:eastAsia="微软雅黑" w:cs="微软雅黑"/>
        </w:rPr>
      </w:pPr>
      <w:r>
        <w:rPr>
          <w:rFonts w:ascii="微软雅黑" w:hAnsi="微软雅黑" w:eastAsia="微软雅黑" w:cs="微软雅黑"/>
          <w:color w:val="32373F"/>
          <w:spacing w:val="5"/>
        </w:rPr>
        <w:t xml:space="preserve">各通道拟合宽度在热真空全程中稳定在约 </w:t>
      </w:r>
      <w:r>
        <w:rPr>
          <w:color w:val="32373F"/>
          <w:spacing w:val="5"/>
        </w:rPr>
        <w:t xml:space="preserve">2.5–4.5 </w:t>
      </w:r>
      <w:r>
        <w:rPr>
          <w:color w:val="32373F"/>
        </w:rPr>
        <w:t>ADC</w:t>
      </w:r>
      <w:r>
        <w:rPr>
          <w:color w:val="32373F"/>
          <w:spacing w:val="5"/>
        </w:rPr>
        <w:t xml:space="preserve"> </w:t>
      </w:r>
      <w:r>
        <w:rPr>
          <w:rFonts w:ascii="微软雅黑" w:hAnsi="微软雅黑" w:eastAsia="微软雅黑" w:cs="微软雅黑"/>
          <w:color w:val="32373F"/>
          <w:spacing w:val="5"/>
        </w:rPr>
        <w:t>范围内，随时间的随</w:t>
      </w:r>
      <w:r>
        <w:rPr>
          <w:rFonts w:ascii="微软雅黑" w:hAnsi="微软雅黑" w:eastAsia="微软雅黑" w:cs="微软雅黑"/>
          <w:color w:val="32373F"/>
          <w:spacing w:val="4"/>
        </w:rPr>
        <w:t>机散布幅度约为</w:t>
      </w:r>
      <w:r>
        <w:rPr>
          <w:color w:val="32373F"/>
          <w:spacing w:val="4"/>
        </w:rPr>
        <w:t xml:space="preserve">±0.5 </w:t>
      </w:r>
      <w:r>
        <w:rPr>
          <w:color w:val="32373F"/>
        </w:rPr>
        <w:t>ADC</w:t>
      </w:r>
      <w:r>
        <w:rPr>
          <w:rFonts w:ascii="微软雅黑" w:hAnsi="微软雅黑" w:eastAsia="微软雅黑" w:cs="微软雅黑"/>
          <w:color w:val="32373F"/>
          <w:spacing w:val="4"/>
        </w:rPr>
        <w:t>，无持续性异常展宽。第</w:t>
      </w:r>
      <w:r>
        <w:rPr>
          <w:rFonts w:ascii="微软雅黑" w:hAnsi="微软雅黑" w:eastAsia="微软雅黑" w:cs="微软雅黑"/>
          <w:color w:val="32373F"/>
          <w:spacing w:val="22"/>
          <w:w w:val="101"/>
        </w:rPr>
        <w:t xml:space="preserve"> </w:t>
      </w:r>
      <w:r>
        <w:rPr>
          <w:color w:val="32373F"/>
          <w:spacing w:val="4"/>
        </w:rPr>
        <w:t xml:space="preserve">1 </w:t>
      </w:r>
      <w:r>
        <w:rPr>
          <w:rFonts w:ascii="微软雅黑" w:hAnsi="微软雅黑" w:eastAsia="微软雅黑" w:cs="微软雅黑"/>
          <w:color w:val="32373F"/>
          <w:spacing w:val="4"/>
        </w:rPr>
        <w:t xml:space="preserve">号晶体在监测初始时刻拟合宽度出现约 </w:t>
      </w:r>
      <w:r>
        <w:rPr>
          <w:color w:val="32373F"/>
          <w:spacing w:val="4"/>
        </w:rPr>
        <w:t xml:space="preserve">4.5 </w:t>
      </w:r>
      <w:r>
        <w:rPr>
          <w:color w:val="32373F"/>
        </w:rPr>
        <w:t>ADC</w:t>
      </w:r>
      <w:r>
        <w:rPr>
          <w:color w:val="32373F"/>
          <w:spacing w:val="4"/>
        </w:rPr>
        <w:t xml:space="preserve"> </w:t>
      </w:r>
      <w:r>
        <w:rPr>
          <w:rFonts w:ascii="微软雅黑" w:hAnsi="微软雅黑" w:eastAsia="微软雅黑" w:cs="微软雅黑"/>
          <w:color w:val="32373F"/>
          <w:spacing w:val="4"/>
        </w:rPr>
        <w:t>的短暂偏高后迅速回落至正常</w:t>
      </w:r>
      <w:r>
        <w:rPr>
          <w:rFonts w:ascii="微软雅黑" w:hAnsi="微软雅黑" w:eastAsia="微软雅黑" w:cs="微软雅黑"/>
          <w:color w:val="32373F"/>
          <w:spacing w:val="3"/>
        </w:rPr>
        <w:t>水平，属偶发性异常采样，不影响整体稳定</w:t>
      </w:r>
      <w:r>
        <w:rPr>
          <w:rFonts w:ascii="微软雅黑" w:hAnsi="微软雅黑" w:eastAsia="微软雅黑" w:cs="微软雅黑"/>
          <w:color w:val="32373F"/>
          <w:spacing w:val="2"/>
        </w:rPr>
        <w:t>性评价。</w:t>
      </w:r>
    </w:p>
    <w:p w14:paraId="2BE45F45">
      <w:pPr>
        <w:pStyle w:val="2"/>
        <w:spacing w:line="265" w:lineRule="auto"/>
        <w:rPr>
          <w:sz w:val="21"/>
        </w:rPr>
      </w:pPr>
    </w:p>
    <w:p w14:paraId="18827833">
      <w:pPr>
        <w:spacing w:line="30" w:lineRule="exact"/>
      </w:pPr>
      <w:r>
        <w:drawing>
          <wp:inline distT="0" distB="0" distL="0" distR="0">
            <wp:extent cx="6572250" cy="190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
                    <a:stretch>
                      <a:fillRect/>
                    </a:stretch>
                  </pic:blipFill>
                  <pic:spPr>
                    <a:xfrm>
                      <a:off x="0" y="0"/>
                      <a:ext cx="6572250" cy="19050"/>
                    </a:xfrm>
                    <a:prstGeom prst="rect">
                      <a:avLst/>
                    </a:prstGeom>
                  </pic:spPr>
                </pic:pic>
              </a:graphicData>
            </a:graphic>
          </wp:inline>
        </w:drawing>
      </w:r>
    </w:p>
    <w:p w14:paraId="11F7372E">
      <w:pPr>
        <w:pStyle w:val="2"/>
        <w:spacing w:before="183" w:line="334" w:lineRule="auto"/>
        <w:ind w:left="7" w:right="6862" w:firstLine="2"/>
        <w:outlineLvl w:val="3"/>
        <w:rPr>
          <w:rFonts w:ascii="微软雅黑" w:hAnsi="微软雅黑" w:eastAsia="微软雅黑" w:cs="微软雅黑"/>
        </w:rPr>
      </w:pPr>
      <w:r>
        <w:rPr>
          <w:b/>
          <w:bCs/>
          <w:color w:val="32373F"/>
          <w:spacing w:val="3"/>
        </w:rPr>
        <w:t xml:space="preserve">5.1.3 </w:t>
      </w:r>
      <w:r>
        <w:rPr>
          <w:rFonts w:ascii="微软雅黑" w:hAnsi="微软雅黑" w:eastAsia="微软雅黑" w:cs="微软雅黑"/>
          <w:b/>
          <w:bCs/>
          <w:color w:val="32373F"/>
          <w:spacing w:val="3"/>
        </w:rPr>
        <w:t>备份高增益基线及时间稳定性台基分布</w:t>
      </w:r>
    </w:p>
    <w:p w14:paraId="09BC27D3">
      <w:pPr>
        <w:spacing w:line="334" w:lineRule="auto"/>
        <w:rPr>
          <w:rFonts w:ascii="微软雅黑" w:hAnsi="微软雅黑" w:eastAsia="微软雅黑" w:cs="微软雅黑"/>
        </w:rPr>
        <w:sectPr>
          <w:pgSz w:w="11919" w:h="16858"/>
          <w:pgMar w:top="560" w:right="783" w:bottom="0" w:left="785" w:header="0" w:footer="0" w:gutter="0"/>
          <w:cols w:space="720" w:num="1"/>
        </w:sectPr>
      </w:pPr>
    </w:p>
    <w:p w14:paraId="262E9B0F">
      <w:pPr>
        <w:spacing w:line="10185" w:lineRule="exact"/>
      </w:pPr>
      <w:r>
        <w:rPr>
          <w:position w:val="-203"/>
        </w:rPr>
        <w:drawing>
          <wp:inline distT="0" distB="0" distL="0" distR="0">
            <wp:extent cx="6572250" cy="64674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1"/>
                    <a:stretch>
                      <a:fillRect/>
                    </a:stretch>
                  </pic:blipFill>
                  <pic:spPr>
                    <a:xfrm>
                      <a:off x="0" y="0"/>
                      <a:ext cx="6572250" cy="6467475"/>
                    </a:xfrm>
                    <a:prstGeom prst="rect">
                      <a:avLst/>
                    </a:prstGeom>
                  </pic:spPr>
                </pic:pic>
              </a:graphicData>
            </a:graphic>
          </wp:inline>
        </w:drawing>
      </w:r>
    </w:p>
    <w:p w14:paraId="6A90EAD2">
      <w:pPr>
        <w:pStyle w:val="2"/>
        <w:spacing w:before="321" w:line="233" w:lineRule="auto"/>
        <w:ind w:left="3" w:right="74"/>
        <w:rPr>
          <w:rFonts w:ascii="微软雅黑" w:hAnsi="微软雅黑" w:eastAsia="微软雅黑" w:cs="微软雅黑"/>
        </w:rPr>
      </w:pPr>
      <w:r>
        <w:rPr>
          <w:rFonts w:ascii="微软雅黑" w:hAnsi="微软雅黑" w:eastAsia="微软雅黑" w:cs="微软雅黑"/>
          <w:color w:val="32373F"/>
          <w:spacing w:val="5"/>
        </w:rPr>
        <w:t xml:space="preserve">高温保持阶段备份高增益读出链路 </w:t>
      </w:r>
      <w:r>
        <w:rPr>
          <w:color w:val="32373F"/>
          <w:spacing w:val="5"/>
        </w:rPr>
        <w:t xml:space="preserve">25 </w:t>
      </w:r>
      <w:r>
        <w:rPr>
          <w:rFonts w:ascii="微软雅黑" w:hAnsi="微软雅黑" w:eastAsia="微软雅黑" w:cs="微软雅黑"/>
          <w:color w:val="32373F"/>
          <w:spacing w:val="5"/>
        </w:rPr>
        <w:t>个晶体通道的台</w:t>
      </w:r>
      <w:r>
        <w:rPr>
          <w:rFonts w:ascii="微软雅黑" w:hAnsi="微软雅黑" w:eastAsia="微软雅黑" w:cs="微软雅黑"/>
          <w:color w:val="32373F"/>
          <w:spacing w:val="4"/>
        </w:rPr>
        <w:t>基分布均呈清晰单峰结构，高斯拟合质量良好，全</w:t>
      </w:r>
      <w:r>
        <w:rPr>
          <w:rFonts w:ascii="微软雅黑" w:hAnsi="微软雅黑" w:eastAsia="微软雅黑" w:cs="微软雅黑"/>
          <w:color w:val="32373F"/>
          <w:spacing w:val="5"/>
        </w:rPr>
        <w:t xml:space="preserve">部通道正常读出。各通道台基均值分布在约 </w:t>
      </w:r>
      <w:r>
        <w:rPr>
          <w:color w:val="32373F"/>
          <w:spacing w:val="5"/>
        </w:rPr>
        <w:t>80</w:t>
      </w:r>
      <w:r>
        <w:rPr>
          <w:color w:val="32373F"/>
          <w:spacing w:val="4"/>
        </w:rPr>
        <w:t xml:space="preserve">2–1550 </w:t>
      </w:r>
      <w:r>
        <w:rPr>
          <w:color w:val="32373F"/>
        </w:rPr>
        <w:t>ADC</w:t>
      </w:r>
      <w:r>
        <w:rPr>
          <w:color w:val="32373F"/>
          <w:spacing w:val="4"/>
        </w:rPr>
        <w:t xml:space="preserve"> </w:t>
      </w:r>
      <w:r>
        <w:rPr>
          <w:rFonts w:ascii="微软雅黑" w:hAnsi="微软雅黑" w:eastAsia="微软雅黑" w:cs="微软雅黑"/>
          <w:color w:val="32373F"/>
          <w:spacing w:val="4"/>
        </w:rPr>
        <w:t xml:space="preserve">之间，通道间分散程度略大于主份高增益链路，与热循环实验中的规律一致。高斯拟合宽度集中在约 </w:t>
      </w:r>
      <w:r>
        <w:rPr>
          <w:color w:val="32373F"/>
          <w:spacing w:val="4"/>
        </w:rPr>
        <w:t xml:space="preserve">26.8–31.3 </w:t>
      </w:r>
      <w:r>
        <w:rPr>
          <w:color w:val="32373F"/>
        </w:rPr>
        <w:t>ADC</w:t>
      </w:r>
      <w:r>
        <w:rPr>
          <w:color w:val="32373F"/>
          <w:spacing w:val="4"/>
        </w:rPr>
        <w:t xml:space="preserve"> </w:t>
      </w:r>
      <w:r>
        <w:rPr>
          <w:rFonts w:ascii="微软雅黑" w:hAnsi="微软雅黑" w:eastAsia="微软雅黑" w:cs="微软雅黑"/>
          <w:color w:val="32373F"/>
          <w:spacing w:val="4"/>
        </w:rPr>
        <w:t>之间，与主份高增益链路相</w:t>
      </w:r>
    </w:p>
    <w:p w14:paraId="17104274">
      <w:pPr>
        <w:spacing w:before="23" w:line="186" w:lineRule="auto"/>
        <w:ind w:left="4"/>
        <w:rPr>
          <w:rFonts w:ascii="微软雅黑" w:hAnsi="微软雅黑" w:eastAsia="微软雅黑" w:cs="微软雅黑"/>
          <w:sz w:val="22"/>
          <w:szCs w:val="22"/>
        </w:rPr>
      </w:pPr>
      <w:r>
        <w:rPr>
          <w:rFonts w:ascii="微软雅黑" w:hAnsi="微软雅黑" w:eastAsia="微软雅黑" w:cs="微软雅黑"/>
          <w:color w:val="32373F"/>
          <w:spacing w:val="4"/>
          <w:sz w:val="22"/>
          <w:szCs w:val="22"/>
        </w:rPr>
        <w:t>近，较热循环实验略有增大，但各通道均在</w:t>
      </w:r>
      <w:r>
        <w:rPr>
          <w:rFonts w:ascii="微软雅黑" w:hAnsi="微软雅黑" w:eastAsia="微软雅黑" w:cs="微软雅黑"/>
          <w:color w:val="32373F"/>
          <w:spacing w:val="3"/>
          <w:sz w:val="22"/>
          <w:szCs w:val="22"/>
        </w:rPr>
        <w:t>合理范围内，未发现异常展宽通道。</w:t>
      </w:r>
    </w:p>
    <w:p w14:paraId="3EE0060F">
      <w:pPr>
        <w:pStyle w:val="2"/>
        <w:spacing w:line="269" w:lineRule="auto"/>
        <w:rPr>
          <w:sz w:val="21"/>
        </w:rPr>
      </w:pPr>
    </w:p>
    <w:p w14:paraId="140B7905">
      <w:pPr>
        <w:spacing w:before="95"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台基均值时间稳定性</w:t>
      </w:r>
    </w:p>
    <w:p w14:paraId="77E9CF83">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394F3DD8">
      <w:pPr>
        <w:spacing w:line="8865" w:lineRule="exact"/>
      </w:pPr>
      <w:r>
        <w:rPr>
          <w:position w:val="-177"/>
        </w:rPr>
        <w:drawing>
          <wp:inline distT="0" distB="0" distL="0" distR="0">
            <wp:extent cx="6572250" cy="56292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6572250" cy="5629275"/>
                    </a:xfrm>
                    <a:prstGeom prst="rect">
                      <a:avLst/>
                    </a:prstGeom>
                  </pic:spPr>
                </pic:pic>
              </a:graphicData>
            </a:graphic>
          </wp:inline>
        </w:drawing>
      </w:r>
    </w:p>
    <w:p w14:paraId="2C5B95D9">
      <w:pPr>
        <w:pStyle w:val="2"/>
        <w:spacing w:before="322" w:line="232" w:lineRule="auto"/>
        <w:ind w:left="3" w:right="76" w:firstLine="2"/>
        <w:jc w:val="both"/>
        <w:rPr>
          <w:rFonts w:ascii="微软雅黑" w:hAnsi="微软雅黑" w:eastAsia="微软雅黑" w:cs="微软雅黑"/>
        </w:rPr>
      </w:pPr>
      <w:r>
        <w:rPr>
          <w:rFonts w:ascii="微软雅黑" w:hAnsi="微软雅黑" w:eastAsia="微软雅黑" w:cs="微软雅黑"/>
          <w:color w:val="32373F"/>
          <w:spacing w:val="5"/>
        </w:rPr>
        <w:t>热真空全程中，各通道台基均值随温度剖面呈周期性</w:t>
      </w:r>
      <w:r>
        <w:rPr>
          <w:rFonts w:ascii="微软雅黑" w:hAnsi="微软雅黑" w:eastAsia="微软雅黑" w:cs="微软雅黑"/>
          <w:color w:val="32373F"/>
          <w:spacing w:val="4"/>
        </w:rPr>
        <w:t xml:space="preserve">波动，波动幅度约为 </w:t>
      </w:r>
      <w:r>
        <w:rPr>
          <w:color w:val="32373F"/>
          <w:spacing w:val="4"/>
        </w:rPr>
        <w:t xml:space="preserve">±50–150 </w:t>
      </w:r>
      <w:r>
        <w:rPr>
          <w:color w:val="32373F"/>
        </w:rPr>
        <w:t>ADC</w:t>
      </w:r>
      <w:r>
        <w:rPr>
          <w:rFonts w:ascii="微软雅黑" w:hAnsi="微软雅黑" w:eastAsia="微软雅黑" w:cs="微软雅黑"/>
          <w:color w:val="32373F"/>
          <w:spacing w:val="4"/>
        </w:rPr>
        <w:t>，在相同温度台</w:t>
      </w:r>
      <w:r>
        <w:rPr>
          <w:rFonts w:ascii="微软雅黑" w:hAnsi="微软雅黑" w:eastAsia="微软雅黑" w:cs="微软雅黑"/>
          <w:color w:val="32373F"/>
          <w:spacing w:val="5"/>
        </w:rPr>
        <w:t>阶下可重复恢复，无系统性漂移。大多数通道的相对</w:t>
      </w:r>
      <w:r>
        <w:rPr>
          <w:rFonts w:ascii="微软雅黑" w:hAnsi="微软雅黑" w:eastAsia="微软雅黑" w:cs="微软雅黑"/>
          <w:color w:val="32373F"/>
          <w:spacing w:val="4"/>
        </w:rPr>
        <w:t xml:space="preserve">波动量控制在 </w:t>
      </w:r>
      <w:r>
        <w:rPr>
          <w:color w:val="32373F"/>
          <w:spacing w:val="4"/>
        </w:rPr>
        <w:t xml:space="preserve">±0.2 </w:t>
      </w:r>
      <w:r>
        <w:rPr>
          <w:rFonts w:ascii="微软雅黑" w:hAnsi="微软雅黑" w:eastAsia="微软雅黑" w:cs="微软雅黑"/>
          <w:color w:val="32373F"/>
          <w:spacing w:val="4"/>
        </w:rPr>
        <w:t>以内。值得注意的是，部分通道</w:t>
      </w:r>
      <w:r>
        <w:rPr>
          <w:rFonts w:ascii="微软雅黑" w:hAnsi="微软雅黑" w:eastAsia="微软雅黑" w:cs="微软雅黑"/>
          <w:color w:val="32373F"/>
          <w:spacing w:val="3"/>
        </w:rPr>
        <w:t xml:space="preserve">（如第 </w:t>
      </w:r>
      <w:r>
        <w:rPr>
          <w:color w:val="32373F"/>
          <w:spacing w:val="3"/>
        </w:rPr>
        <w:t>3</w:t>
      </w:r>
      <w:r>
        <w:rPr>
          <w:rFonts w:ascii="微软雅黑" w:hAnsi="微软雅黑" w:eastAsia="微软雅黑" w:cs="微软雅黑"/>
          <w:color w:val="32373F"/>
          <w:spacing w:val="3"/>
        </w:rPr>
        <w:t>、</w:t>
      </w:r>
      <w:r>
        <w:rPr>
          <w:color w:val="32373F"/>
          <w:spacing w:val="3"/>
        </w:rPr>
        <w:t>5</w:t>
      </w:r>
      <w:r>
        <w:rPr>
          <w:rFonts w:ascii="微软雅黑" w:hAnsi="微软雅黑" w:eastAsia="微软雅黑" w:cs="微软雅黑"/>
          <w:color w:val="32373F"/>
          <w:spacing w:val="3"/>
        </w:rPr>
        <w:t>、</w:t>
      </w:r>
      <w:r>
        <w:rPr>
          <w:rFonts w:ascii="微软雅黑" w:hAnsi="微软雅黑" w:eastAsia="微软雅黑" w:cs="微软雅黑"/>
          <w:color w:val="32373F"/>
          <w:spacing w:val="-35"/>
        </w:rPr>
        <w:t xml:space="preserve"> </w:t>
      </w:r>
      <w:r>
        <w:rPr>
          <w:color w:val="32373F"/>
          <w:spacing w:val="3"/>
        </w:rPr>
        <w:t>13</w:t>
      </w:r>
      <w:r>
        <w:rPr>
          <w:rFonts w:ascii="微软雅黑" w:hAnsi="微软雅黑" w:eastAsia="微软雅黑" w:cs="微软雅黑"/>
          <w:color w:val="32373F"/>
          <w:spacing w:val="3"/>
        </w:rPr>
        <w:t>、</w:t>
      </w:r>
      <w:r>
        <w:rPr>
          <w:rFonts w:ascii="微软雅黑" w:hAnsi="微软雅黑" w:eastAsia="微软雅黑" w:cs="微软雅黑"/>
          <w:color w:val="32373F"/>
          <w:spacing w:val="-36"/>
        </w:rPr>
        <w:t xml:space="preserve"> </w:t>
      </w:r>
      <w:r>
        <w:rPr>
          <w:color w:val="32373F"/>
          <w:spacing w:val="3"/>
        </w:rPr>
        <w:t>14</w:t>
      </w:r>
      <w:r>
        <w:rPr>
          <w:rFonts w:ascii="微软雅黑" w:hAnsi="微软雅黑" w:eastAsia="微软雅黑" w:cs="微软雅黑"/>
          <w:color w:val="32373F"/>
          <w:spacing w:val="3"/>
        </w:rPr>
        <w:t>、</w:t>
      </w:r>
      <w:r>
        <w:rPr>
          <w:color w:val="32373F"/>
          <w:spacing w:val="3"/>
        </w:rPr>
        <w:t xml:space="preserve">25 </w:t>
      </w:r>
      <w:r>
        <w:rPr>
          <w:rFonts w:ascii="微软雅黑" w:hAnsi="微软雅黑" w:eastAsia="微软雅黑" w:cs="微软雅黑"/>
          <w:color w:val="32373F"/>
          <w:spacing w:val="3"/>
        </w:rPr>
        <w:t>号晶体）</w:t>
      </w:r>
      <w:r>
        <w:rPr>
          <w:rFonts w:ascii="微软雅黑" w:hAnsi="微软雅黑" w:eastAsia="微软雅黑" w:cs="微软雅黑"/>
          <w:color w:val="32373F"/>
          <w:spacing w:val="2"/>
        </w:rPr>
        <w:t>的台基均值整体水平明显高于其他通道（约</w:t>
      </w:r>
      <w:r>
        <w:rPr>
          <w:rFonts w:ascii="微软雅黑" w:hAnsi="微软雅黑" w:eastAsia="微软雅黑" w:cs="微软雅黑"/>
          <w:color w:val="32373F"/>
          <w:spacing w:val="22"/>
        </w:rPr>
        <w:t xml:space="preserve"> </w:t>
      </w:r>
      <w:r>
        <w:rPr>
          <w:color w:val="32373F"/>
          <w:spacing w:val="2"/>
        </w:rPr>
        <w:t xml:space="preserve">1300–1550 </w:t>
      </w:r>
      <w:r>
        <w:rPr>
          <w:color w:val="32373F"/>
        </w:rPr>
        <w:t>ADC</w:t>
      </w:r>
      <w:r>
        <w:rPr>
          <w:rFonts w:ascii="微软雅黑" w:hAnsi="微软雅黑" w:eastAsia="微软雅黑" w:cs="微软雅黑"/>
          <w:color w:val="32373F"/>
          <w:spacing w:val="4"/>
        </w:rPr>
        <w:t>），</w:t>
      </w:r>
      <w:r>
        <w:rPr>
          <w:rFonts w:ascii="微软雅黑" w:hAnsi="微软雅黑" w:eastAsia="微软雅黑" w:cs="微软雅黑"/>
          <w:color w:val="32373F"/>
          <w:spacing w:val="2"/>
        </w:rPr>
        <w:t>这</w:t>
      </w:r>
      <w:r>
        <w:rPr>
          <w:rFonts w:ascii="微软雅黑" w:hAnsi="微软雅黑" w:eastAsia="微软雅黑" w:cs="微软雅黑"/>
          <w:color w:val="32373F"/>
          <w:spacing w:val="5"/>
        </w:rPr>
        <w:t>与图像</w:t>
      </w:r>
      <w:r>
        <w:rPr>
          <w:color w:val="32373F"/>
          <w:spacing w:val="5"/>
        </w:rPr>
        <w:t>7</w:t>
      </w:r>
      <w:r>
        <w:rPr>
          <w:rFonts w:ascii="微软雅黑" w:hAnsi="微软雅黑" w:eastAsia="微软雅黑" w:cs="微软雅黑"/>
          <w:color w:val="32373F"/>
          <w:spacing w:val="5"/>
        </w:rPr>
        <w:t>中对应通道均值偏高的单次测量结果一致，属于该链路通道间固有偏置差异，并</w:t>
      </w:r>
      <w:r>
        <w:rPr>
          <w:rFonts w:ascii="微软雅黑" w:hAnsi="微软雅黑" w:eastAsia="微软雅黑" w:cs="微软雅黑"/>
          <w:color w:val="32373F"/>
          <w:spacing w:val="4"/>
        </w:rPr>
        <w:t>非热真空环境引</w:t>
      </w:r>
      <w:r>
        <w:rPr>
          <w:rFonts w:ascii="微软雅黑" w:hAnsi="微软雅黑" w:eastAsia="微软雅黑" w:cs="微软雅黑"/>
          <w:color w:val="32373F"/>
          <w:spacing w:val="-4"/>
        </w:rPr>
        <w:t>入的异常。</w:t>
      </w:r>
    </w:p>
    <w:p w14:paraId="75AE4710">
      <w:pPr>
        <w:spacing w:before="315"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台基拟合宽度时间稳定性</w:t>
      </w:r>
    </w:p>
    <w:p w14:paraId="68A5D8AA">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25E0AB31">
      <w:pPr>
        <w:spacing w:line="8865" w:lineRule="exact"/>
      </w:pPr>
      <w:r>
        <w:rPr>
          <w:position w:val="-177"/>
        </w:rPr>
        <w:drawing>
          <wp:inline distT="0" distB="0" distL="0" distR="0">
            <wp:extent cx="6572250" cy="56292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3"/>
                    <a:stretch>
                      <a:fillRect/>
                    </a:stretch>
                  </pic:blipFill>
                  <pic:spPr>
                    <a:xfrm>
                      <a:off x="0" y="0"/>
                      <a:ext cx="6572250" cy="5629275"/>
                    </a:xfrm>
                    <a:prstGeom prst="rect">
                      <a:avLst/>
                    </a:prstGeom>
                  </pic:spPr>
                </pic:pic>
              </a:graphicData>
            </a:graphic>
          </wp:inline>
        </w:drawing>
      </w:r>
    </w:p>
    <w:p w14:paraId="288DB493">
      <w:pPr>
        <w:pStyle w:val="2"/>
        <w:spacing w:before="322" w:line="231" w:lineRule="auto"/>
        <w:ind w:left="2" w:right="72" w:hanging="1"/>
        <w:jc w:val="both"/>
        <w:rPr>
          <w:rFonts w:ascii="微软雅黑" w:hAnsi="微软雅黑" w:eastAsia="微软雅黑" w:cs="微软雅黑"/>
        </w:rPr>
      </w:pPr>
      <w:r>
        <w:rPr>
          <w:rFonts w:ascii="微软雅黑" w:hAnsi="微软雅黑" w:eastAsia="微软雅黑" w:cs="微软雅黑"/>
          <w:color w:val="32373F"/>
          <w:spacing w:val="3"/>
        </w:rPr>
        <w:t>各通道拟合宽度在热真空全程中维持在约</w:t>
      </w:r>
      <w:r>
        <w:rPr>
          <w:rFonts w:ascii="微软雅黑" w:hAnsi="微软雅黑" w:eastAsia="微软雅黑" w:cs="微软雅黑"/>
          <w:color w:val="32373F"/>
          <w:spacing w:val="25"/>
        </w:rPr>
        <w:t xml:space="preserve"> </w:t>
      </w:r>
      <w:r>
        <w:rPr>
          <w:color w:val="32373F"/>
          <w:spacing w:val="3"/>
        </w:rPr>
        <w:t xml:space="preserve">17–30 </w:t>
      </w:r>
      <w:r>
        <w:rPr>
          <w:color w:val="32373F"/>
        </w:rPr>
        <w:t>ADC</w:t>
      </w:r>
      <w:r>
        <w:rPr>
          <w:color w:val="32373F"/>
          <w:spacing w:val="3"/>
        </w:rPr>
        <w:t xml:space="preserve"> </w:t>
      </w:r>
      <w:r>
        <w:rPr>
          <w:rFonts w:ascii="微软雅黑" w:hAnsi="微软雅黑" w:eastAsia="微软雅黑" w:cs="微软雅黑"/>
          <w:color w:val="32373F"/>
          <w:spacing w:val="3"/>
        </w:rPr>
        <w:t xml:space="preserve">范围内，随时间呈现约 </w:t>
      </w:r>
      <w:r>
        <w:rPr>
          <w:color w:val="32373F"/>
          <w:spacing w:val="3"/>
        </w:rPr>
        <w:t xml:space="preserve">±3–5 </w:t>
      </w:r>
      <w:r>
        <w:rPr>
          <w:color w:val="32373F"/>
        </w:rPr>
        <w:t>ADC</w:t>
      </w:r>
      <w:r>
        <w:rPr>
          <w:color w:val="32373F"/>
          <w:spacing w:val="3"/>
        </w:rPr>
        <w:t xml:space="preserve"> </w:t>
      </w:r>
      <w:r>
        <w:rPr>
          <w:rFonts w:ascii="微软雅黑" w:hAnsi="微软雅黑" w:eastAsia="微软雅黑" w:cs="微软雅黑"/>
          <w:color w:val="32373F"/>
          <w:spacing w:val="3"/>
        </w:rPr>
        <w:t>的周期性起伏，</w:t>
      </w:r>
      <w:r>
        <w:rPr>
          <w:rFonts w:ascii="微软雅黑" w:hAnsi="微软雅黑" w:eastAsia="微软雅黑" w:cs="微软雅黑"/>
          <w:color w:val="32373F"/>
          <w:spacing w:val="5"/>
        </w:rPr>
        <w:t>波动幅度与主份高增益链路相当。相对波动量多数通</w:t>
      </w:r>
      <w:r>
        <w:rPr>
          <w:rFonts w:ascii="微软雅黑" w:hAnsi="微软雅黑" w:eastAsia="微软雅黑" w:cs="微软雅黑"/>
          <w:color w:val="32373F"/>
          <w:spacing w:val="4"/>
        </w:rPr>
        <w:t xml:space="preserve">道在 </w:t>
      </w:r>
      <w:r>
        <w:rPr>
          <w:color w:val="32373F"/>
          <w:spacing w:val="4"/>
        </w:rPr>
        <w:t xml:space="preserve">±0.3 </w:t>
      </w:r>
      <w:r>
        <w:rPr>
          <w:rFonts w:ascii="微软雅黑" w:hAnsi="微软雅黑" w:eastAsia="微软雅黑" w:cs="微软雅黑"/>
          <w:color w:val="32373F"/>
          <w:spacing w:val="4"/>
        </w:rPr>
        <w:t>以内，整体波动特性正常，无持续性噪声</w:t>
      </w:r>
      <w:r>
        <w:rPr>
          <w:rFonts w:ascii="微软雅黑" w:hAnsi="微软雅黑" w:eastAsia="微软雅黑" w:cs="微软雅黑"/>
          <w:color w:val="32373F"/>
          <w:spacing w:val="-4"/>
        </w:rPr>
        <w:t>增大迹象。</w:t>
      </w:r>
    </w:p>
    <w:p w14:paraId="4422A840">
      <w:pPr>
        <w:pStyle w:val="2"/>
        <w:spacing w:line="265" w:lineRule="auto"/>
        <w:rPr>
          <w:sz w:val="21"/>
        </w:rPr>
      </w:pPr>
    </w:p>
    <w:p w14:paraId="4D83AD36">
      <w:pPr>
        <w:spacing w:line="30" w:lineRule="exact"/>
      </w:pPr>
      <w:r>
        <w:drawing>
          <wp:inline distT="0" distB="0" distL="0" distR="0">
            <wp:extent cx="6572250" cy="190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
                    <a:stretch>
                      <a:fillRect/>
                    </a:stretch>
                  </pic:blipFill>
                  <pic:spPr>
                    <a:xfrm>
                      <a:off x="0" y="0"/>
                      <a:ext cx="6572250" cy="19050"/>
                    </a:xfrm>
                    <a:prstGeom prst="rect">
                      <a:avLst/>
                    </a:prstGeom>
                  </pic:spPr>
                </pic:pic>
              </a:graphicData>
            </a:graphic>
          </wp:inline>
        </w:drawing>
      </w:r>
    </w:p>
    <w:p w14:paraId="7D3F3732">
      <w:pPr>
        <w:pStyle w:val="2"/>
        <w:spacing w:before="183" w:line="334" w:lineRule="auto"/>
        <w:ind w:left="7" w:right="6862" w:firstLine="2"/>
        <w:outlineLvl w:val="3"/>
        <w:rPr>
          <w:rFonts w:ascii="微软雅黑" w:hAnsi="微软雅黑" w:eastAsia="微软雅黑" w:cs="微软雅黑"/>
        </w:rPr>
      </w:pPr>
      <w:r>
        <w:rPr>
          <w:b/>
          <w:bCs/>
          <w:color w:val="32373F"/>
          <w:spacing w:val="3"/>
        </w:rPr>
        <w:t xml:space="preserve">5.1.4 </w:t>
      </w:r>
      <w:r>
        <w:rPr>
          <w:rFonts w:ascii="微软雅黑" w:hAnsi="微软雅黑" w:eastAsia="微软雅黑" w:cs="微软雅黑"/>
          <w:b/>
          <w:bCs/>
          <w:color w:val="32373F"/>
          <w:spacing w:val="3"/>
        </w:rPr>
        <w:t>备份低增益基线及时间稳定性台基分布</w:t>
      </w:r>
    </w:p>
    <w:p w14:paraId="12BD6DAB">
      <w:pPr>
        <w:spacing w:line="334" w:lineRule="auto"/>
        <w:rPr>
          <w:rFonts w:ascii="微软雅黑" w:hAnsi="微软雅黑" w:eastAsia="微软雅黑" w:cs="微软雅黑"/>
        </w:rPr>
        <w:sectPr>
          <w:pgSz w:w="11919" w:h="16858"/>
          <w:pgMar w:top="560" w:right="783" w:bottom="0" w:left="785" w:header="0" w:footer="0" w:gutter="0"/>
          <w:cols w:space="720" w:num="1"/>
        </w:sectPr>
      </w:pPr>
    </w:p>
    <w:p w14:paraId="3D472E28">
      <w:pPr>
        <w:spacing w:line="10185" w:lineRule="exact"/>
      </w:pPr>
      <w:r>
        <w:rPr>
          <w:position w:val="-203"/>
        </w:rPr>
        <w:drawing>
          <wp:inline distT="0" distB="0" distL="0" distR="0">
            <wp:extent cx="6572250" cy="64674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4"/>
                    <a:stretch>
                      <a:fillRect/>
                    </a:stretch>
                  </pic:blipFill>
                  <pic:spPr>
                    <a:xfrm>
                      <a:off x="0" y="0"/>
                      <a:ext cx="6572250" cy="6467475"/>
                    </a:xfrm>
                    <a:prstGeom prst="rect">
                      <a:avLst/>
                    </a:prstGeom>
                  </pic:spPr>
                </pic:pic>
              </a:graphicData>
            </a:graphic>
          </wp:inline>
        </w:drawing>
      </w:r>
    </w:p>
    <w:p w14:paraId="721E3CAB">
      <w:pPr>
        <w:pStyle w:val="2"/>
        <w:spacing w:before="320" w:line="229" w:lineRule="auto"/>
        <w:ind w:left="4" w:right="74"/>
      </w:pPr>
      <w:r>
        <w:rPr>
          <w:rFonts w:ascii="微软雅黑" w:hAnsi="微软雅黑" w:eastAsia="微软雅黑" w:cs="微软雅黑"/>
          <w:color w:val="32373F"/>
          <w:spacing w:val="5"/>
        </w:rPr>
        <w:t xml:space="preserve">高温保持阶段备份低增益读出链路 </w:t>
      </w:r>
      <w:r>
        <w:rPr>
          <w:color w:val="32373F"/>
          <w:spacing w:val="5"/>
        </w:rPr>
        <w:t xml:space="preserve">25 </w:t>
      </w:r>
      <w:r>
        <w:rPr>
          <w:rFonts w:ascii="微软雅黑" w:hAnsi="微软雅黑" w:eastAsia="微软雅黑" w:cs="微软雅黑"/>
          <w:color w:val="32373F"/>
          <w:spacing w:val="5"/>
        </w:rPr>
        <w:t>个晶体通道的台</w:t>
      </w:r>
      <w:r>
        <w:rPr>
          <w:rFonts w:ascii="微软雅黑" w:hAnsi="微软雅黑" w:eastAsia="微软雅黑" w:cs="微软雅黑"/>
          <w:color w:val="32373F"/>
          <w:spacing w:val="4"/>
        </w:rPr>
        <w:t>基分布均呈极窄单峰结构，高斯拟合结果稳定，全</w:t>
      </w:r>
      <w:r>
        <w:rPr>
          <w:rFonts w:ascii="微软雅黑" w:hAnsi="微软雅黑" w:eastAsia="微软雅黑" w:cs="微软雅黑"/>
          <w:color w:val="32373F"/>
          <w:spacing w:val="5"/>
        </w:rPr>
        <w:t xml:space="preserve">部通道正常读出。各通道台基均值分布在约 </w:t>
      </w:r>
      <w:r>
        <w:rPr>
          <w:color w:val="32373F"/>
          <w:spacing w:val="5"/>
        </w:rPr>
        <w:t xml:space="preserve">808–1438 </w:t>
      </w:r>
      <w:r>
        <w:rPr>
          <w:color w:val="32373F"/>
        </w:rPr>
        <w:t>ADC</w:t>
      </w:r>
      <w:r>
        <w:rPr>
          <w:color w:val="32373F"/>
          <w:spacing w:val="5"/>
        </w:rPr>
        <w:t xml:space="preserve"> </w:t>
      </w:r>
      <w:r>
        <w:rPr>
          <w:rFonts w:ascii="微软雅黑" w:hAnsi="微软雅黑" w:eastAsia="微软雅黑" w:cs="微软雅黑"/>
          <w:color w:val="32373F"/>
          <w:spacing w:val="5"/>
        </w:rPr>
        <w:t>之间，高斯拟合宽度集中在约</w:t>
      </w:r>
      <w:r>
        <w:rPr>
          <w:color w:val="32373F"/>
          <w:spacing w:val="5"/>
        </w:rPr>
        <w:t>3.25–4.12</w:t>
      </w:r>
    </w:p>
    <w:p w14:paraId="4312543F">
      <w:pPr>
        <w:pStyle w:val="2"/>
        <w:spacing w:before="3" w:line="238" w:lineRule="auto"/>
        <w:ind w:left="2" w:right="173" w:hanging="2"/>
        <w:rPr>
          <w:rFonts w:ascii="微软雅黑" w:hAnsi="微软雅黑" w:eastAsia="微软雅黑" w:cs="微软雅黑"/>
        </w:rPr>
      </w:pPr>
      <w:r>
        <w:rPr>
          <w:color w:val="32373F"/>
        </w:rPr>
        <w:t>ADC</w:t>
      </w:r>
      <w:r>
        <w:rPr>
          <w:color w:val="32373F"/>
          <w:spacing w:val="5"/>
        </w:rPr>
        <w:t xml:space="preserve"> </w:t>
      </w:r>
      <w:r>
        <w:rPr>
          <w:rFonts w:ascii="微软雅黑" w:hAnsi="微软雅黑" w:eastAsia="微软雅黑" w:cs="微软雅黑"/>
          <w:color w:val="32373F"/>
          <w:spacing w:val="5"/>
        </w:rPr>
        <w:t>之间，与主份低增益链路（</w:t>
      </w:r>
      <w:r>
        <w:rPr>
          <w:color w:val="32373F"/>
          <w:spacing w:val="5"/>
        </w:rPr>
        <w:t xml:space="preserve">3.25–4.25 </w:t>
      </w:r>
      <w:r>
        <w:rPr>
          <w:color w:val="32373F"/>
        </w:rPr>
        <w:t>ADC</w:t>
      </w:r>
      <w:r>
        <w:rPr>
          <w:rFonts w:ascii="微软雅黑" w:hAnsi="微软雅黑" w:eastAsia="微软雅黑" w:cs="微软雅黑"/>
          <w:color w:val="32373F"/>
          <w:spacing w:val="5"/>
        </w:rPr>
        <w:t>）及热循环实验对应结果高度一</w:t>
      </w:r>
      <w:r>
        <w:rPr>
          <w:rFonts w:ascii="微软雅黑" w:hAnsi="微软雅黑" w:eastAsia="微软雅黑" w:cs="微软雅黑"/>
          <w:color w:val="32373F"/>
          <w:spacing w:val="4"/>
        </w:rPr>
        <w:t>致，表明真空环境对备</w:t>
      </w:r>
      <w:r>
        <w:rPr>
          <w:rFonts w:ascii="微软雅黑" w:hAnsi="微软雅黑" w:eastAsia="微软雅黑" w:cs="微软雅黑"/>
          <w:color w:val="32373F"/>
          <w:spacing w:val="2"/>
        </w:rPr>
        <w:t>份低增益链路基线噪声水平同样无显著影响。</w:t>
      </w:r>
    </w:p>
    <w:p w14:paraId="73F7FF10">
      <w:pPr>
        <w:spacing w:before="309"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台基均值时间稳定性</w:t>
      </w:r>
    </w:p>
    <w:p w14:paraId="772C4BEB">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000C0E9D">
      <w:pPr>
        <w:spacing w:line="8865" w:lineRule="exact"/>
      </w:pPr>
      <w:r>
        <w:rPr>
          <w:position w:val="-177"/>
        </w:rPr>
        <w:drawing>
          <wp:inline distT="0" distB="0" distL="0" distR="0">
            <wp:extent cx="6572250" cy="56292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5"/>
                    <a:stretch>
                      <a:fillRect/>
                    </a:stretch>
                  </pic:blipFill>
                  <pic:spPr>
                    <a:xfrm>
                      <a:off x="0" y="0"/>
                      <a:ext cx="6572250" cy="5629275"/>
                    </a:xfrm>
                    <a:prstGeom prst="rect">
                      <a:avLst/>
                    </a:prstGeom>
                  </pic:spPr>
                </pic:pic>
              </a:graphicData>
            </a:graphic>
          </wp:inline>
        </w:drawing>
      </w:r>
    </w:p>
    <w:p w14:paraId="3D0C2CE4">
      <w:pPr>
        <w:pStyle w:val="2"/>
        <w:spacing w:before="320" w:line="245" w:lineRule="auto"/>
        <w:ind w:left="3" w:firstLine="2"/>
        <w:jc w:val="both"/>
        <w:rPr>
          <w:rFonts w:ascii="微软雅黑" w:hAnsi="微软雅黑" w:eastAsia="微软雅黑" w:cs="微软雅黑"/>
        </w:rPr>
      </w:pPr>
      <w:r>
        <w:rPr>
          <w:rFonts w:ascii="微软雅黑" w:hAnsi="微软雅黑" w:eastAsia="微软雅黑" w:cs="微软雅黑"/>
          <w:color w:val="32373F"/>
          <w:spacing w:val="5"/>
        </w:rPr>
        <w:t>热真空全程中，各通道台基均值随温度剖面呈规律性</w:t>
      </w:r>
      <w:r>
        <w:rPr>
          <w:rFonts w:ascii="微软雅黑" w:hAnsi="微软雅黑" w:eastAsia="微软雅黑" w:cs="微软雅黑"/>
          <w:color w:val="32373F"/>
          <w:spacing w:val="4"/>
        </w:rPr>
        <w:t xml:space="preserve">周期波动，波动幅度约为 </w:t>
      </w:r>
      <w:r>
        <w:rPr>
          <w:color w:val="32373F"/>
          <w:spacing w:val="4"/>
        </w:rPr>
        <w:t xml:space="preserve">±20–60 </w:t>
      </w:r>
      <w:r>
        <w:rPr>
          <w:color w:val="32373F"/>
        </w:rPr>
        <w:t>ADC</w:t>
      </w:r>
      <w:r>
        <w:rPr>
          <w:rFonts w:ascii="微软雅黑" w:hAnsi="微软雅黑" w:eastAsia="微软雅黑" w:cs="微软雅黑"/>
          <w:color w:val="32373F"/>
          <w:spacing w:val="4"/>
        </w:rPr>
        <w:t>，可重复性良好，无系统性单向漂移。与热循环实验相比，本次热真空实验中各通道台基均值的周期性振</w:t>
      </w:r>
      <w:r>
        <w:rPr>
          <w:rFonts w:ascii="微软雅黑" w:hAnsi="微软雅黑" w:eastAsia="微软雅黑" w:cs="微软雅黑"/>
          <w:color w:val="32373F"/>
          <w:spacing w:val="3"/>
        </w:rPr>
        <w:t>荡幅度较小，</w:t>
      </w:r>
      <w:r>
        <w:rPr>
          <w:rFonts w:ascii="微软雅黑" w:hAnsi="微软雅黑" w:eastAsia="微软雅黑" w:cs="微软雅黑"/>
          <w:color w:val="32373F"/>
          <w:spacing w:val="5"/>
        </w:rPr>
        <w:t>曲线整体更为平稳，表明低增益链路台基对热真空环境下的温度变化响应更为温和。多数通道</w:t>
      </w:r>
      <w:r>
        <w:rPr>
          <w:rFonts w:ascii="微软雅黑" w:hAnsi="微软雅黑" w:eastAsia="微软雅黑" w:cs="微软雅黑"/>
          <w:color w:val="32373F"/>
          <w:spacing w:val="4"/>
        </w:rPr>
        <w:t>相对波动量</w:t>
      </w:r>
      <w:r>
        <w:rPr>
          <w:rFonts w:ascii="微软雅黑" w:hAnsi="微软雅黑" w:eastAsia="微软雅黑" w:cs="微软雅黑"/>
          <w:color w:val="32373F"/>
          <w:spacing w:val="-1"/>
        </w:rPr>
        <w:t xml:space="preserve">控制在 </w:t>
      </w:r>
      <w:r>
        <w:rPr>
          <w:color w:val="32373F"/>
          <w:spacing w:val="-1"/>
        </w:rPr>
        <w:t>±0.2</w:t>
      </w:r>
      <w:r>
        <w:rPr>
          <w:color w:val="32373F"/>
          <w:spacing w:val="13"/>
        </w:rPr>
        <w:t xml:space="preserve"> </w:t>
      </w:r>
      <w:r>
        <w:rPr>
          <w:rFonts w:ascii="微软雅黑" w:hAnsi="微软雅黑" w:eastAsia="微软雅黑" w:cs="微软雅黑"/>
          <w:color w:val="32373F"/>
          <w:spacing w:val="-1"/>
        </w:rPr>
        <w:t>以内。</w:t>
      </w:r>
    </w:p>
    <w:p w14:paraId="77188B58">
      <w:pPr>
        <w:spacing w:before="240"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台基拟合宽度时间稳定性</w:t>
      </w:r>
    </w:p>
    <w:p w14:paraId="27A8BE91">
      <w:pPr>
        <w:spacing w:line="187" w:lineRule="auto"/>
        <w:rPr>
          <w:rFonts w:ascii="微软雅黑" w:hAnsi="微软雅黑" w:eastAsia="微软雅黑" w:cs="微软雅黑"/>
          <w:sz w:val="22"/>
          <w:szCs w:val="22"/>
        </w:rPr>
        <w:sectPr>
          <w:pgSz w:w="11919" w:h="16858"/>
          <w:pgMar w:top="560" w:right="783" w:bottom="0" w:left="785" w:header="0" w:footer="0" w:gutter="0"/>
          <w:cols w:space="720" w:num="1"/>
        </w:sectPr>
      </w:pPr>
    </w:p>
    <w:p w14:paraId="3CD010DE">
      <w:pPr>
        <w:spacing w:line="8865" w:lineRule="exact"/>
      </w:pPr>
      <w:r>
        <w:rPr>
          <w:position w:val="-177"/>
        </w:rPr>
        <w:drawing>
          <wp:inline distT="0" distB="0" distL="0" distR="0">
            <wp:extent cx="6572250" cy="56292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6"/>
                    <a:stretch>
                      <a:fillRect/>
                    </a:stretch>
                  </pic:blipFill>
                  <pic:spPr>
                    <a:xfrm>
                      <a:off x="0" y="0"/>
                      <a:ext cx="6572250" cy="5629275"/>
                    </a:xfrm>
                    <a:prstGeom prst="rect">
                      <a:avLst/>
                    </a:prstGeom>
                  </pic:spPr>
                </pic:pic>
              </a:graphicData>
            </a:graphic>
          </wp:inline>
        </w:drawing>
      </w:r>
    </w:p>
    <w:p w14:paraId="0A4A8EC8">
      <w:pPr>
        <w:pStyle w:val="2"/>
        <w:spacing w:before="323" w:line="231" w:lineRule="auto"/>
        <w:ind w:left="2" w:right="72" w:hanging="1"/>
        <w:rPr>
          <w:rFonts w:ascii="微软雅黑" w:hAnsi="微软雅黑" w:eastAsia="微软雅黑" w:cs="微软雅黑"/>
        </w:rPr>
      </w:pPr>
      <w:r>
        <w:rPr>
          <w:rFonts w:ascii="微软雅黑" w:hAnsi="微软雅黑" w:eastAsia="微软雅黑" w:cs="微软雅黑"/>
          <w:color w:val="32373F"/>
          <w:spacing w:val="5"/>
        </w:rPr>
        <w:t xml:space="preserve">各通道拟合宽度在热真空全程中稳定在约 </w:t>
      </w:r>
      <w:r>
        <w:rPr>
          <w:color w:val="32373F"/>
          <w:spacing w:val="5"/>
        </w:rPr>
        <w:t xml:space="preserve">2.5–4.5 </w:t>
      </w:r>
      <w:r>
        <w:rPr>
          <w:color w:val="32373F"/>
        </w:rPr>
        <w:t>ADC</w:t>
      </w:r>
      <w:r>
        <w:rPr>
          <w:color w:val="32373F"/>
          <w:spacing w:val="5"/>
        </w:rPr>
        <w:t xml:space="preserve"> </w:t>
      </w:r>
      <w:r>
        <w:rPr>
          <w:rFonts w:ascii="微软雅黑" w:hAnsi="微软雅黑" w:eastAsia="微软雅黑" w:cs="微软雅黑"/>
          <w:color w:val="32373F"/>
          <w:spacing w:val="5"/>
        </w:rPr>
        <w:t>范围内，随时间的随</w:t>
      </w:r>
      <w:r>
        <w:rPr>
          <w:rFonts w:ascii="微软雅黑" w:hAnsi="微软雅黑" w:eastAsia="微软雅黑" w:cs="微软雅黑"/>
          <w:color w:val="32373F"/>
          <w:spacing w:val="4"/>
        </w:rPr>
        <w:t>机散布幅度约为</w:t>
      </w:r>
      <w:r>
        <w:rPr>
          <w:color w:val="32373F"/>
          <w:spacing w:val="4"/>
        </w:rPr>
        <w:t xml:space="preserve">±0.5 </w:t>
      </w:r>
      <w:r>
        <w:rPr>
          <w:color w:val="32373F"/>
        </w:rPr>
        <w:t>ADC</w:t>
      </w:r>
      <w:r>
        <w:rPr>
          <w:rFonts w:ascii="微软雅黑" w:hAnsi="微软雅黑" w:eastAsia="微软雅黑" w:cs="微软雅黑"/>
          <w:color w:val="32373F"/>
          <w:spacing w:val="4"/>
        </w:rPr>
        <w:t>，</w:t>
      </w:r>
      <w:r>
        <w:rPr>
          <w:rFonts w:ascii="微软雅黑" w:hAnsi="微软雅黑" w:eastAsia="微软雅黑" w:cs="微软雅黑"/>
          <w:color w:val="32373F"/>
          <w:spacing w:val="5"/>
        </w:rPr>
        <w:t>与热循环实验结果一致，无持续性异常展宽现象。</w:t>
      </w:r>
      <w:r>
        <w:rPr>
          <w:rFonts w:ascii="微软雅黑" w:hAnsi="微软雅黑" w:eastAsia="微软雅黑" w:cs="微软雅黑"/>
          <w:color w:val="32373F"/>
          <w:spacing w:val="4"/>
        </w:rPr>
        <w:t xml:space="preserve">相对波动量多数通道在 </w:t>
      </w:r>
      <w:r>
        <w:rPr>
          <w:color w:val="32373F"/>
          <w:spacing w:val="4"/>
        </w:rPr>
        <w:t xml:space="preserve">±0.2 </w:t>
      </w:r>
      <w:r>
        <w:rPr>
          <w:rFonts w:ascii="微软雅黑" w:hAnsi="微软雅黑" w:eastAsia="微软雅黑" w:cs="微软雅黑"/>
          <w:color w:val="32373F"/>
          <w:spacing w:val="4"/>
        </w:rPr>
        <w:t>以内，整体噪声水平稳</w:t>
      </w:r>
      <w:r>
        <w:rPr>
          <w:rFonts w:ascii="微软雅黑" w:hAnsi="微软雅黑" w:eastAsia="微软雅黑" w:cs="微软雅黑"/>
          <w:color w:val="32373F"/>
        </w:rPr>
        <w:t xml:space="preserve"> </w:t>
      </w:r>
      <w:r>
        <w:rPr>
          <w:rFonts w:ascii="微软雅黑" w:hAnsi="微软雅黑" w:eastAsia="微软雅黑" w:cs="微软雅黑"/>
          <w:color w:val="32373F"/>
          <w:spacing w:val="-10"/>
        </w:rPr>
        <w:t>定。</w:t>
      </w:r>
    </w:p>
    <w:p w14:paraId="26EDBDCC">
      <w:pPr>
        <w:spacing w:before="314" w:line="187" w:lineRule="auto"/>
        <w:ind w:left="7"/>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台基分析综合小结</w:t>
      </w:r>
    </w:p>
    <w:p w14:paraId="181BB7D5">
      <w:pPr>
        <w:spacing w:before="215" w:line="187" w:lineRule="auto"/>
        <w:ind w:left="4"/>
        <w:rPr>
          <w:rFonts w:ascii="微软雅黑" w:hAnsi="微软雅黑" w:eastAsia="微软雅黑" w:cs="微软雅黑"/>
          <w:sz w:val="22"/>
          <w:szCs w:val="22"/>
        </w:rPr>
      </w:pPr>
      <w:r>
        <w:rPr>
          <w:rFonts w:ascii="微软雅黑" w:hAnsi="微软雅黑" w:eastAsia="微软雅黑" w:cs="微软雅黑"/>
          <w:color w:val="32373F"/>
          <w:spacing w:val="3"/>
          <w:sz w:val="22"/>
          <w:szCs w:val="22"/>
        </w:rPr>
        <w:t>综合四组读出链路在热真空实验全程中的台基分析结果，主要结论如下：</w:t>
      </w:r>
    </w:p>
    <w:p w14:paraId="6C877B32">
      <w:pPr>
        <w:pStyle w:val="2"/>
        <w:spacing w:before="324" w:line="239" w:lineRule="auto"/>
        <w:ind w:left="384" w:right="142" w:hanging="228"/>
        <w:rPr>
          <w:rFonts w:ascii="微软雅黑" w:hAnsi="微软雅黑" w:eastAsia="微软雅黑" w:cs="微软雅黑"/>
        </w:rPr>
      </w:pPr>
      <w:r>
        <w:rPr>
          <w:color w:val="32373F"/>
          <w:spacing w:val="4"/>
        </w:rPr>
        <w:t xml:space="preserve">1. </w:t>
      </w:r>
      <w:r>
        <w:rPr>
          <w:rFonts w:ascii="微软雅黑" w:hAnsi="微软雅黑" w:eastAsia="微软雅黑" w:cs="微软雅黑"/>
          <w:color w:val="32373F"/>
          <w:spacing w:val="4"/>
        </w:rPr>
        <w:t xml:space="preserve">全部 </w:t>
      </w:r>
      <w:r>
        <w:rPr>
          <w:color w:val="32373F"/>
          <w:spacing w:val="4"/>
        </w:rPr>
        <w:t xml:space="preserve">25 </w:t>
      </w:r>
      <w:r>
        <w:rPr>
          <w:rFonts w:ascii="微软雅黑" w:hAnsi="微软雅黑" w:eastAsia="微软雅黑" w:cs="微软雅黑"/>
          <w:color w:val="32373F"/>
          <w:spacing w:val="4"/>
        </w:rPr>
        <w:t>个晶体通道在四组读出链路中均正常读出，台基分布呈单峰结构，高斯拟合结果稳定，</w:t>
      </w:r>
      <w:r>
        <w:rPr>
          <w:rFonts w:ascii="微软雅黑" w:hAnsi="微软雅黑" w:eastAsia="微软雅黑" w:cs="微软雅黑"/>
          <w:color w:val="32373F"/>
          <w:spacing w:val="3"/>
        </w:rPr>
        <w:t>未发</w:t>
      </w:r>
      <w:r>
        <w:rPr>
          <w:rFonts w:ascii="微软雅黑" w:hAnsi="微软雅黑" w:eastAsia="微软雅黑" w:cs="微软雅黑"/>
          <w:color w:val="32373F"/>
          <w:spacing w:val="-3"/>
        </w:rPr>
        <w:t>现失效通道；</w:t>
      </w:r>
    </w:p>
    <w:p w14:paraId="056F2624">
      <w:pPr>
        <w:pStyle w:val="2"/>
        <w:spacing w:before="56" w:line="232" w:lineRule="auto"/>
        <w:ind w:left="384" w:right="119" w:hanging="246"/>
        <w:rPr>
          <w:rFonts w:ascii="微软雅黑" w:hAnsi="微软雅黑" w:eastAsia="微软雅黑" w:cs="微软雅黑"/>
        </w:rPr>
      </w:pPr>
      <w:r>
        <w:rPr>
          <w:color w:val="32373F"/>
          <w:spacing w:val="4"/>
        </w:rPr>
        <w:t xml:space="preserve">2. </w:t>
      </w:r>
      <w:r>
        <w:rPr>
          <w:rFonts w:ascii="微软雅黑" w:hAnsi="微软雅黑" w:eastAsia="微软雅黑" w:cs="微软雅黑"/>
          <w:color w:val="32373F"/>
          <w:spacing w:val="4"/>
        </w:rPr>
        <w:t xml:space="preserve">高增益链路拟合宽度约为 </w:t>
      </w:r>
      <w:r>
        <w:rPr>
          <w:color w:val="32373F"/>
          <w:spacing w:val="4"/>
        </w:rPr>
        <w:t xml:space="preserve">26–31 </w:t>
      </w:r>
      <w:r>
        <w:rPr>
          <w:color w:val="32373F"/>
        </w:rPr>
        <w:t>ADC</w:t>
      </w:r>
      <w:r>
        <w:rPr>
          <w:rFonts w:ascii="微软雅黑" w:hAnsi="微软雅黑" w:eastAsia="微软雅黑" w:cs="微软雅黑"/>
          <w:color w:val="32373F"/>
          <w:spacing w:val="4"/>
        </w:rPr>
        <w:t>，低增益链路约为</w:t>
      </w:r>
      <w:r>
        <w:rPr>
          <w:rFonts w:ascii="微软雅黑" w:hAnsi="微软雅黑" w:eastAsia="微软雅黑" w:cs="微软雅黑"/>
          <w:color w:val="32373F"/>
          <w:spacing w:val="25"/>
        </w:rPr>
        <w:t xml:space="preserve"> </w:t>
      </w:r>
      <w:r>
        <w:rPr>
          <w:color w:val="32373F"/>
          <w:spacing w:val="4"/>
        </w:rPr>
        <w:t xml:space="preserve">3–4 </w:t>
      </w:r>
      <w:r>
        <w:rPr>
          <w:color w:val="32373F"/>
        </w:rPr>
        <w:t>ADC</w:t>
      </w:r>
      <w:r>
        <w:rPr>
          <w:rFonts w:ascii="微软雅黑" w:hAnsi="微软雅黑" w:eastAsia="微软雅黑" w:cs="微软雅黑"/>
          <w:color w:val="32373F"/>
          <w:spacing w:val="4"/>
        </w:rPr>
        <w:t>，与热循</w:t>
      </w:r>
      <w:r>
        <w:rPr>
          <w:rFonts w:ascii="微软雅黑" w:hAnsi="微软雅黑" w:eastAsia="微软雅黑" w:cs="微软雅黑"/>
          <w:color w:val="32373F"/>
          <w:spacing w:val="3"/>
        </w:rPr>
        <w:t>环实验相比，高增益链路</w:t>
      </w:r>
      <w:r>
        <w:rPr>
          <w:rFonts w:ascii="微软雅黑" w:hAnsi="微软雅黑" w:eastAsia="微软雅黑" w:cs="微软雅黑"/>
          <w:color w:val="32373F"/>
          <w:spacing w:val="4"/>
        </w:rPr>
        <w:t>拟合宽度略有增大（约</w:t>
      </w:r>
      <w:r>
        <w:rPr>
          <w:rFonts w:ascii="微软雅黑" w:hAnsi="微软雅黑" w:eastAsia="微软雅黑" w:cs="微软雅黑"/>
          <w:color w:val="32373F"/>
          <w:spacing w:val="23"/>
        </w:rPr>
        <w:t xml:space="preserve"> </w:t>
      </w:r>
      <w:r>
        <w:rPr>
          <w:color w:val="32373F"/>
          <w:spacing w:val="4"/>
        </w:rPr>
        <w:t xml:space="preserve">1–3 </w:t>
      </w:r>
      <w:r>
        <w:rPr>
          <w:color w:val="32373F"/>
        </w:rPr>
        <w:t>ADC</w:t>
      </w:r>
      <w:r>
        <w:rPr>
          <w:rFonts w:ascii="微软雅黑" w:hAnsi="微软雅黑" w:eastAsia="微软雅黑" w:cs="微软雅黑"/>
          <w:color w:val="32373F"/>
          <w:spacing w:val="4"/>
        </w:rPr>
        <w:t>），低增益链路基本不变，折算至相同增益尺度后差异在合</w:t>
      </w:r>
      <w:r>
        <w:rPr>
          <w:rFonts w:ascii="微软雅黑" w:hAnsi="微软雅黑" w:eastAsia="微软雅黑" w:cs="微软雅黑"/>
          <w:color w:val="32373F"/>
          <w:spacing w:val="3"/>
        </w:rPr>
        <w:t>理范围</w:t>
      </w:r>
      <w:r>
        <w:rPr>
          <w:rFonts w:ascii="微软雅黑" w:hAnsi="微软雅黑" w:eastAsia="微软雅黑" w:cs="微软雅黑"/>
          <w:color w:val="32373F"/>
          <w:spacing w:val="-10"/>
        </w:rPr>
        <w:t>内；</w:t>
      </w:r>
    </w:p>
    <w:p w14:paraId="3E266104">
      <w:pPr>
        <w:pStyle w:val="2"/>
        <w:spacing w:before="76" w:line="239" w:lineRule="auto"/>
        <w:ind w:left="385" w:right="67" w:hanging="244"/>
        <w:rPr>
          <w:rFonts w:ascii="微软雅黑" w:hAnsi="微软雅黑" w:eastAsia="微软雅黑" w:cs="微软雅黑"/>
        </w:rPr>
      </w:pPr>
      <w:r>
        <w:rPr>
          <w:color w:val="32373F"/>
          <w:spacing w:val="4"/>
        </w:rPr>
        <w:t>3.</w:t>
      </w:r>
      <w:r>
        <w:rPr>
          <w:color w:val="32373F"/>
          <w:spacing w:val="31"/>
        </w:rPr>
        <w:t xml:space="preserve"> </w:t>
      </w:r>
      <w:r>
        <w:rPr>
          <w:rFonts w:ascii="微软雅黑" w:hAnsi="微软雅黑" w:eastAsia="微软雅黑" w:cs="微软雅黑"/>
          <w:color w:val="32373F"/>
          <w:spacing w:val="4"/>
        </w:rPr>
        <w:t>四组链路台基均值均随温度剖面呈规律性周期变化，具有良好的可重复性，未观测到系统性单向漂移</w:t>
      </w:r>
      <w:r>
        <w:rPr>
          <w:rFonts w:ascii="微软雅黑" w:hAnsi="微软雅黑" w:eastAsia="微软雅黑" w:cs="微软雅黑"/>
          <w:color w:val="32373F"/>
        </w:rPr>
        <w:t>或不可恢复的性能退化；</w:t>
      </w:r>
    </w:p>
    <w:p w14:paraId="1C1675DA">
      <w:pPr>
        <w:pStyle w:val="2"/>
        <w:spacing w:before="101" w:line="187" w:lineRule="auto"/>
        <w:ind w:left="135"/>
        <w:rPr>
          <w:rFonts w:ascii="微软雅黑" w:hAnsi="微软雅黑" w:eastAsia="微软雅黑" w:cs="微软雅黑"/>
        </w:rPr>
      </w:pPr>
      <w:r>
        <w:rPr>
          <w:color w:val="32373F"/>
          <w:spacing w:val="3"/>
        </w:rPr>
        <w:t xml:space="preserve">4. </w:t>
      </w:r>
      <w:r>
        <w:rPr>
          <w:rFonts w:ascii="微软雅黑" w:hAnsi="微软雅黑" w:eastAsia="微软雅黑" w:cs="微软雅黑"/>
          <w:color w:val="32373F"/>
          <w:spacing w:val="3"/>
        </w:rPr>
        <w:t>主份与备份两端对应链路的台基特性匹配良好，主备份一致性满足预期；</w:t>
      </w:r>
    </w:p>
    <w:p w14:paraId="30C14582">
      <w:pPr>
        <w:pStyle w:val="2"/>
        <w:spacing w:before="114" w:line="239" w:lineRule="auto"/>
        <w:ind w:left="398" w:right="292" w:hanging="257"/>
        <w:rPr>
          <w:rFonts w:ascii="微软雅黑" w:hAnsi="微软雅黑" w:eastAsia="微软雅黑" w:cs="微软雅黑"/>
        </w:rPr>
      </w:pPr>
      <w:r>
        <w:rPr>
          <w:color w:val="32373F"/>
          <w:spacing w:val="5"/>
        </w:rPr>
        <w:t xml:space="preserve">5. </w:t>
      </w:r>
      <w:r>
        <w:rPr>
          <w:rFonts w:ascii="微软雅黑" w:hAnsi="微软雅黑" w:eastAsia="微软雅黑" w:cs="微软雅黑"/>
          <w:color w:val="32373F"/>
          <w:spacing w:val="5"/>
        </w:rPr>
        <w:t>与热循环实验结果横向对比，热真空环境引入后高增</w:t>
      </w:r>
      <w:r>
        <w:rPr>
          <w:rFonts w:ascii="微软雅黑" w:hAnsi="微软雅黑" w:eastAsia="微软雅黑" w:cs="微软雅黑"/>
          <w:color w:val="32373F"/>
          <w:spacing w:val="4"/>
        </w:rPr>
        <w:t>益链路噪声水平有轻微增大，但未超出合理范</w:t>
      </w:r>
      <w:r>
        <w:rPr>
          <w:rFonts w:ascii="微软雅黑" w:hAnsi="微软雅黑" w:eastAsia="微软雅黑" w:cs="微软雅黑"/>
          <w:color w:val="32373F"/>
          <w:spacing w:val="3"/>
        </w:rPr>
        <w:t xml:space="preserve">围，低增益链路几乎不受影响，总体而言 </w:t>
      </w:r>
      <w:r>
        <w:rPr>
          <w:color w:val="32373F"/>
        </w:rPr>
        <w:t>Calo</w:t>
      </w:r>
      <w:r>
        <w:rPr>
          <w:color w:val="32373F"/>
          <w:spacing w:val="3"/>
        </w:rPr>
        <w:t xml:space="preserve"> </w:t>
      </w:r>
      <w:r>
        <w:rPr>
          <w:rFonts w:ascii="微软雅黑" w:hAnsi="微软雅黑" w:eastAsia="微软雅黑" w:cs="微软雅黑"/>
          <w:color w:val="32373F"/>
          <w:spacing w:val="3"/>
        </w:rPr>
        <w:t>在热真空环境下的基线稳定性满足预期要求。</w:t>
      </w:r>
    </w:p>
    <w:p w14:paraId="09AC407E">
      <w:pPr>
        <w:spacing w:line="239" w:lineRule="auto"/>
        <w:rPr>
          <w:rFonts w:ascii="微软雅黑" w:hAnsi="微软雅黑" w:eastAsia="微软雅黑" w:cs="微软雅黑"/>
        </w:rPr>
        <w:sectPr>
          <w:pgSz w:w="11919" w:h="16858"/>
          <w:pgMar w:top="560" w:right="783" w:bottom="0" w:left="785" w:header="0" w:footer="0" w:gutter="0"/>
          <w:cols w:space="720" w:num="1"/>
        </w:sectPr>
      </w:pPr>
    </w:p>
    <w:p w14:paraId="4EA355F8">
      <w:pPr>
        <w:pStyle w:val="2"/>
        <w:spacing w:before="208" w:line="188" w:lineRule="auto"/>
        <w:ind w:left="10"/>
        <w:outlineLvl w:val="2"/>
        <w:rPr>
          <w:rFonts w:ascii="微软雅黑" w:hAnsi="微软雅黑" w:eastAsia="微软雅黑" w:cs="微软雅黑"/>
          <w:sz w:val="24"/>
          <w:szCs w:val="24"/>
        </w:rPr>
      </w:pPr>
      <w:r>
        <w:rPr>
          <w:b/>
          <w:bCs/>
          <w:color w:val="32373F"/>
          <w:spacing w:val="7"/>
          <w:sz w:val="24"/>
          <w:szCs w:val="24"/>
        </w:rPr>
        <w:t xml:space="preserve">5.2 </w:t>
      </w:r>
      <w:r>
        <w:rPr>
          <w:rFonts w:ascii="微软雅黑" w:hAnsi="微软雅黑" w:eastAsia="微软雅黑" w:cs="微软雅黑"/>
          <w:b/>
          <w:bCs/>
          <w:color w:val="32373F"/>
          <w:spacing w:val="7"/>
          <w:sz w:val="24"/>
          <w:szCs w:val="24"/>
        </w:rPr>
        <w:t>刻度（</w:t>
      </w:r>
      <w:r>
        <w:rPr>
          <w:b/>
          <w:bCs/>
          <w:color w:val="32373F"/>
          <w:sz w:val="24"/>
          <w:szCs w:val="24"/>
        </w:rPr>
        <w:t>calibration</w:t>
      </w:r>
      <w:r>
        <w:rPr>
          <w:rFonts w:ascii="微软雅黑" w:hAnsi="微软雅黑" w:eastAsia="微软雅黑" w:cs="微软雅黑"/>
          <w:b/>
          <w:bCs/>
          <w:color w:val="32373F"/>
          <w:spacing w:val="7"/>
          <w:sz w:val="24"/>
          <w:szCs w:val="24"/>
        </w:rPr>
        <w:t>）模式分析</w:t>
      </w:r>
    </w:p>
    <w:p w14:paraId="666BCC93">
      <w:pPr>
        <w:pStyle w:val="2"/>
        <w:spacing w:before="204" w:line="236" w:lineRule="auto"/>
        <w:ind w:left="3" w:hanging="1"/>
        <w:jc w:val="both"/>
        <w:rPr>
          <w:rFonts w:ascii="微软雅黑" w:hAnsi="微软雅黑" w:eastAsia="微软雅黑" w:cs="微软雅黑"/>
        </w:rPr>
      </w:pPr>
      <w:r>
        <w:rPr>
          <w:rFonts w:ascii="微软雅黑" w:hAnsi="微软雅黑" w:eastAsia="微软雅黑" w:cs="微软雅黑"/>
          <w:color w:val="32373F"/>
          <w:spacing w:val="5"/>
        </w:rPr>
        <w:t xml:space="preserve">增益稳定性是评价 </w:t>
      </w:r>
      <w:r>
        <w:rPr>
          <w:color w:val="32373F"/>
        </w:rPr>
        <w:t>Calo</w:t>
      </w:r>
      <w:r>
        <w:rPr>
          <w:color w:val="32373F"/>
          <w:spacing w:val="5"/>
        </w:rPr>
        <w:t xml:space="preserve"> </w:t>
      </w:r>
      <w:r>
        <w:rPr>
          <w:rFonts w:ascii="微软雅黑" w:hAnsi="微软雅黑" w:eastAsia="微软雅黑" w:cs="微软雅黑"/>
          <w:color w:val="32373F"/>
          <w:spacing w:val="5"/>
        </w:rPr>
        <w:t>能量测量能力的重要指标。由于闪烁体光输出、雪崩光电二极管增益</w:t>
      </w:r>
      <w:r>
        <w:rPr>
          <w:rFonts w:ascii="微软雅黑" w:hAnsi="微软雅黑" w:eastAsia="微软雅黑" w:cs="微软雅黑"/>
          <w:color w:val="32373F"/>
          <w:spacing w:val="4"/>
        </w:rPr>
        <w:t>、前端电子</w:t>
      </w:r>
      <w:r>
        <w:rPr>
          <w:rFonts w:ascii="微软雅黑" w:hAnsi="微软雅黑" w:eastAsia="微软雅黑" w:cs="微软雅黑"/>
          <w:color w:val="32373F"/>
          <w:spacing w:val="5"/>
        </w:rPr>
        <w:t>学放大倍数以及热传导状态均可能随温度变化和真空环境的引入而发生变化，因此热真空实</w:t>
      </w:r>
      <w:r>
        <w:rPr>
          <w:rFonts w:ascii="微软雅黑" w:hAnsi="微软雅黑" w:eastAsia="微软雅黑" w:cs="微软雅黑"/>
          <w:color w:val="32373F"/>
          <w:spacing w:val="4"/>
        </w:rPr>
        <w:t>验中需要重点</w:t>
      </w:r>
      <w:r>
        <w:rPr>
          <w:rFonts w:ascii="微软雅黑" w:hAnsi="微软雅黑" w:eastAsia="微软雅黑" w:cs="微软雅黑"/>
          <w:color w:val="32373F"/>
          <w:spacing w:val="3"/>
        </w:rPr>
        <w:t>监测各读出链路的电子学增益线性特性及其随时间的稳定性。</w:t>
      </w:r>
    </w:p>
    <w:p w14:paraId="19EDF062">
      <w:pPr>
        <w:pStyle w:val="2"/>
        <w:spacing w:before="267" w:line="187" w:lineRule="auto"/>
        <w:ind w:left="9"/>
        <w:outlineLvl w:val="3"/>
        <w:rPr>
          <w:rFonts w:ascii="微软雅黑" w:hAnsi="微软雅黑" w:eastAsia="微软雅黑" w:cs="微软雅黑"/>
        </w:rPr>
      </w:pPr>
      <w:r>
        <w:rPr>
          <w:b/>
          <w:bCs/>
          <w:color w:val="32373F"/>
          <w:spacing w:val="3"/>
        </w:rPr>
        <w:t xml:space="preserve">5.2.1 </w:t>
      </w:r>
      <w:r>
        <w:rPr>
          <w:rFonts w:ascii="微软雅黑" w:hAnsi="微软雅黑" w:eastAsia="微软雅黑" w:cs="微软雅黑"/>
          <w:b/>
          <w:bCs/>
          <w:color w:val="32373F"/>
          <w:spacing w:val="3"/>
        </w:rPr>
        <w:t>主份高增益刻度特性</w:t>
      </w:r>
    </w:p>
    <w:p w14:paraId="7DDEA3CD">
      <w:pPr>
        <w:pStyle w:val="2"/>
        <w:spacing w:before="202" w:line="186" w:lineRule="auto"/>
        <w:rPr>
          <w:rFonts w:ascii="微软雅黑" w:hAnsi="微软雅黑" w:eastAsia="微软雅黑" w:cs="微软雅黑"/>
        </w:rPr>
      </w:pPr>
      <w:r>
        <w:rPr>
          <w:b/>
          <w:bCs/>
          <w:color w:val="32373F"/>
        </w:rPr>
        <w:t>ADC</w:t>
      </w:r>
      <w:r>
        <w:rPr>
          <w:b/>
          <w:bCs/>
          <w:color w:val="32373F"/>
          <w:spacing w:val="5"/>
        </w:rPr>
        <w:t xml:space="preserve"> </w:t>
      </w:r>
      <w:r>
        <w:rPr>
          <w:rFonts w:ascii="微软雅黑" w:hAnsi="微软雅黑" w:eastAsia="微软雅黑" w:cs="微软雅黑"/>
          <w:b/>
          <w:bCs/>
          <w:color w:val="32373F"/>
          <w:spacing w:val="5"/>
        </w:rPr>
        <w:t>响应与偏压关系</w:t>
      </w:r>
    </w:p>
    <w:p w14:paraId="6E8AE60A">
      <w:pPr>
        <w:pStyle w:val="2"/>
        <w:spacing w:line="301" w:lineRule="auto"/>
        <w:rPr>
          <w:sz w:val="21"/>
        </w:rPr>
      </w:pPr>
    </w:p>
    <w:p w14:paraId="593AA0A0">
      <w:pPr>
        <w:spacing w:before="1" w:line="10185" w:lineRule="exact"/>
      </w:pPr>
      <w:r>
        <w:rPr>
          <w:position w:val="-203"/>
        </w:rPr>
        <w:drawing>
          <wp:inline distT="0" distB="0" distL="0" distR="0">
            <wp:extent cx="6572250" cy="64674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7"/>
                    <a:stretch>
                      <a:fillRect/>
                    </a:stretch>
                  </pic:blipFill>
                  <pic:spPr>
                    <a:xfrm>
                      <a:off x="0" y="0"/>
                      <a:ext cx="6572250" cy="6467475"/>
                    </a:xfrm>
                    <a:prstGeom prst="rect">
                      <a:avLst/>
                    </a:prstGeom>
                  </pic:spPr>
                </pic:pic>
              </a:graphicData>
            </a:graphic>
          </wp:inline>
        </w:drawing>
      </w:r>
    </w:p>
    <w:p w14:paraId="537F1C19">
      <w:pPr>
        <w:pStyle w:val="2"/>
        <w:spacing w:before="323" w:line="233" w:lineRule="auto"/>
        <w:ind w:left="3" w:right="41" w:firstLine="1"/>
        <w:jc w:val="both"/>
        <w:rPr>
          <w:rFonts w:ascii="微软雅黑" w:hAnsi="微软雅黑" w:eastAsia="微软雅黑" w:cs="微软雅黑"/>
        </w:rPr>
      </w:pPr>
      <w:r>
        <w:rPr>
          <w:rFonts w:ascii="微软雅黑" w:hAnsi="微软雅黑" w:eastAsia="微软雅黑" w:cs="微软雅黑"/>
          <w:color w:val="32373F"/>
          <w:spacing w:val="5"/>
        </w:rPr>
        <w:t xml:space="preserve">高温保持阶段主份高增益读出链路 </w:t>
      </w:r>
      <w:r>
        <w:rPr>
          <w:color w:val="32373F"/>
          <w:spacing w:val="5"/>
        </w:rPr>
        <w:t xml:space="preserve">25 </w:t>
      </w:r>
      <w:r>
        <w:rPr>
          <w:rFonts w:ascii="微软雅黑" w:hAnsi="微软雅黑" w:eastAsia="微软雅黑" w:cs="微软雅黑"/>
          <w:color w:val="32373F"/>
          <w:spacing w:val="5"/>
        </w:rPr>
        <w:t>个晶体通道的刻</w:t>
      </w:r>
      <w:r>
        <w:rPr>
          <w:rFonts w:ascii="微软雅黑" w:hAnsi="微软雅黑" w:eastAsia="微软雅黑" w:cs="微软雅黑"/>
          <w:color w:val="32373F"/>
          <w:spacing w:val="4"/>
        </w:rPr>
        <w:t>度响应曲线均呈现典型的非线性饱和特征：低偏压</w:t>
      </w:r>
      <w:r>
        <w:rPr>
          <w:rFonts w:ascii="微软雅黑" w:hAnsi="微软雅黑" w:eastAsia="微软雅黑" w:cs="微软雅黑"/>
          <w:color w:val="32373F"/>
          <w:spacing w:val="5"/>
        </w:rPr>
        <w:t xml:space="preserve">段（约 </w:t>
      </w:r>
      <w:r>
        <w:rPr>
          <w:color w:val="32373F"/>
          <w:spacing w:val="5"/>
        </w:rPr>
        <w:t xml:space="preserve">0–600 </w:t>
      </w:r>
      <w:r>
        <w:rPr>
          <w:color w:val="32373F"/>
        </w:rPr>
        <w:t>mV</w:t>
      </w:r>
      <w:r>
        <w:rPr>
          <w:rFonts w:ascii="微软雅黑" w:hAnsi="微软雅黑" w:eastAsia="微软雅黑" w:cs="微软雅黑"/>
          <w:color w:val="32373F"/>
          <w:spacing w:val="5"/>
        </w:rPr>
        <w:t>）响应线性良好，红色拟合直线</w:t>
      </w:r>
      <w:r>
        <w:rPr>
          <w:rFonts w:ascii="微软雅黑" w:hAnsi="微软雅黑" w:eastAsia="微软雅黑" w:cs="微软雅黑"/>
          <w:color w:val="32373F"/>
          <w:spacing w:val="4"/>
        </w:rPr>
        <w:t>与数据点吻合优良；高偏压段趋于饱和，饱和平台约在</w:t>
      </w:r>
      <w:r>
        <w:rPr>
          <w:color w:val="32373F"/>
        </w:rPr>
        <w:t>60000–65000 ADC</w:t>
      </w:r>
      <w:r>
        <w:rPr>
          <w:color w:val="32373F"/>
          <w:spacing w:val="24"/>
        </w:rPr>
        <w:t xml:space="preserve"> </w:t>
      </w:r>
      <w:r>
        <w:rPr>
          <w:rFonts w:ascii="微软雅黑" w:hAnsi="微软雅黑" w:eastAsia="微软雅黑" w:cs="微软雅黑"/>
          <w:color w:val="32373F"/>
        </w:rPr>
        <w:t>附近。</w:t>
      </w:r>
    </w:p>
    <w:p w14:paraId="7F9D2E0A">
      <w:pPr>
        <w:spacing w:line="233" w:lineRule="auto"/>
        <w:rPr>
          <w:rFonts w:ascii="微软雅黑" w:hAnsi="微软雅黑" w:eastAsia="微软雅黑" w:cs="微软雅黑"/>
        </w:rPr>
        <w:sectPr>
          <w:headerReference r:id="rId6" w:type="default"/>
          <w:pgSz w:w="11919" w:h="16858"/>
          <w:pgMar w:top="590" w:right="783" w:bottom="0" w:left="785" w:header="560" w:footer="0" w:gutter="0"/>
          <w:cols w:space="720" w:num="1"/>
        </w:sectPr>
      </w:pPr>
    </w:p>
    <w:p w14:paraId="5A2E4D6D">
      <w:pPr>
        <w:pStyle w:val="2"/>
        <w:spacing w:before="181" w:line="229" w:lineRule="auto"/>
        <w:ind w:left="1"/>
        <w:rPr>
          <w:rFonts w:ascii="微软雅黑" w:hAnsi="微软雅黑" w:eastAsia="微软雅黑" w:cs="微软雅黑"/>
        </w:rPr>
      </w:pPr>
      <w:r>
        <w:rPr>
          <w:rFonts w:ascii="微软雅黑" w:hAnsi="微软雅黑" w:eastAsia="微软雅黑" w:cs="微软雅黑"/>
          <w:color w:val="32373F"/>
          <w:spacing w:val="4"/>
        </w:rPr>
        <w:t>各通道线性区间拟合斜率分布在约</w:t>
      </w:r>
      <w:r>
        <w:rPr>
          <w:rFonts w:ascii="微软雅黑" w:hAnsi="微软雅黑" w:eastAsia="微软雅黑" w:cs="微软雅黑"/>
          <w:color w:val="32373F"/>
          <w:spacing w:val="31"/>
          <w:w w:val="101"/>
        </w:rPr>
        <w:t xml:space="preserve"> </w:t>
      </w:r>
      <w:r>
        <w:rPr>
          <w:color w:val="32373F"/>
          <w:spacing w:val="4"/>
        </w:rPr>
        <w:t xml:space="preserve">166–178 </w:t>
      </w: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之间，通道间一致性良好，斜率分散程度约为</w:t>
      </w:r>
    </w:p>
    <w:p w14:paraId="1A9E5D79">
      <w:pPr>
        <w:pStyle w:val="2"/>
        <w:spacing w:before="2" w:line="234" w:lineRule="auto"/>
        <w:ind w:left="2" w:right="224" w:firstLine="5"/>
        <w:rPr>
          <w:rFonts w:ascii="微软雅黑" w:hAnsi="微软雅黑" w:eastAsia="微软雅黑" w:cs="微软雅黑"/>
        </w:rPr>
      </w:pPr>
      <w:r>
        <w:rPr>
          <w:color w:val="32373F"/>
          <w:spacing w:val="4"/>
        </w:rPr>
        <w:t>±3%</w:t>
      </w:r>
      <w:r>
        <w:rPr>
          <w:rFonts w:ascii="微软雅黑" w:hAnsi="微软雅黑" w:eastAsia="微软雅黑" w:cs="微软雅黑"/>
          <w:color w:val="32373F"/>
          <w:spacing w:val="4"/>
        </w:rPr>
        <w:t>，与热循环实验对应结果（</w:t>
      </w:r>
      <w:r>
        <w:rPr>
          <w:color w:val="32373F"/>
          <w:spacing w:val="4"/>
        </w:rPr>
        <w:t xml:space="preserve">167–179 </w:t>
      </w:r>
      <w:r>
        <w:rPr>
          <w:color w:val="32373F"/>
        </w:rPr>
        <w:t>ADC</w:t>
      </w:r>
      <w:r>
        <w:rPr>
          <w:color w:val="32373F"/>
          <w:spacing w:val="4"/>
        </w:rPr>
        <w:t>/</w:t>
      </w:r>
      <w:r>
        <w:rPr>
          <w:color w:val="32373F"/>
        </w:rPr>
        <w:t>mV</w:t>
      </w:r>
      <w:r>
        <w:rPr>
          <w:rFonts w:ascii="微软雅黑" w:hAnsi="微软雅黑" w:eastAsia="微软雅黑" w:cs="微软雅黑"/>
          <w:color w:val="32373F"/>
          <w:spacing w:val="4"/>
        </w:rPr>
        <w:t xml:space="preserve">）高度吻合，表明热真空环境未对主份高增益链路的增益系数造成明显影响。全部 </w:t>
      </w:r>
      <w:r>
        <w:rPr>
          <w:color w:val="32373F"/>
          <w:spacing w:val="4"/>
        </w:rPr>
        <w:t xml:space="preserve">25 </w:t>
      </w:r>
      <w:r>
        <w:rPr>
          <w:rFonts w:ascii="微软雅黑" w:hAnsi="微软雅黑" w:eastAsia="微软雅黑" w:cs="微软雅黑"/>
          <w:color w:val="32373F"/>
          <w:spacing w:val="4"/>
        </w:rPr>
        <w:t>个通道</w:t>
      </w:r>
      <w:r>
        <w:rPr>
          <w:rFonts w:ascii="微软雅黑" w:hAnsi="微软雅黑" w:eastAsia="微软雅黑" w:cs="微软雅黑"/>
          <w:color w:val="32373F"/>
          <w:spacing w:val="3"/>
        </w:rPr>
        <w:t>拟合收敛正常，未发现增益异常或线性度劣化通道。</w:t>
      </w:r>
    </w:p>
    <w:p w14:paraId="7972DCF0">
      <w:pPr>
        <w:spacing w:before="324" w:line="186" w:lineRule="auto"/>
        <w:ind w:left="3"/>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拟合斜率时间稳定性</w:t>
      </w:r>
    </w:p>
    <w:p w14:paraId="22D3F5BD">
      <w:pPr>
        <w:pStyle w:val="2"/>
        <w:spacing w:line="316" w:lineRule="auto"/>
        <w:rPr>
          <w:sz w:val="21"/>
        </w:rPr>
      </w:pPr>
    </w:p>
    <w:p w14:paraId="334D93C7">
      <w:pPr>
        <w:spacing w:line="8850" w:lineRule="exact"/>
      </w:pPr>
      <w:r>
        <w:rPr>
          <w:position w:val="-177"/>
        </w:rPr>
        <w:drawing>
          <wp:inline distT="0" distB="0" distL="0" distR="0">
            <wp:extent cx="6572250" cy="56197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8"/>
                    <a:stretch>
                      <a:fillRect/>
                    </a:stretch>
                  </pic:blipFill>
                  <pic:spPr>
                    <a:xfrm>
                      <a:off x="0" y="0"/>
                      <a:ext cx="6572250" cy="5619750"/>
                    </a:xfrm>
                    <a:prstGeom prst="rect">
                      <a:avLst/>
                    </a:prstGeom>
                  </pic:spPr>
                </pic:pic>
              </a:graphicData>
            </a:graphic>
          </wp:inline>
        </w:drawing>
      </w:r>
    </w:p>
    <w:p w14:paraId="4C511731">
      <w:pPr>
        <w:pStyle w:val="2"/>
        <w:spacing w:before="333" w:line="230" w:lineRule="auto"/>
        <w:ind w:left="2" w:right="86"/>
        <w:jc w:val="both"/>
        <w:rPr>
          <w:rFonts w:ascii="微软雅黑" w:hAnsi="微软雅黑" w:eastAsia="微软雅黑" w:cs="微软雅黑"/>
        </w:rPr>
      </w:pPr>
      <w:r>
        <w:rPr>
          <w:color w:val="32373F"/>
          <w:spacing w:val="3"/>
        </w:rPr>
        <w:t xml:space="preserve">4 </w:t>
      </w:r>
      <w:r>
        <w:rPr>
          <w:rFonts w:ascii="微软雅黑" w:hAnsi="微软雅黑" w:eastAsia="微软雅黑" w:cs="微软雅黑"/>
          <w:color w:val="32373F"/>
          <w:spacing w:val="3"/>
        </w:rPr>
        <w:t xml:space="preserve">月 </w:t>
      </w:r>
      <w:r>
        <w:rPr>
          <w:color w:val="32373F"/>
          <w:spacing w:val="3"/>
        </w:rPr>
        <w:t>2</w:t>
      </w:r>
      <w:r>
        <w:rPr>
          <w:color w:val="32373F"/>
          <w:spacing w:val="36"/>
        </w:rPr>
        <w:t xml:space="preserve"> </w:t>
      </w:r>
      <w:r>
        <w:rPr>
          <w:rFonts w:ascii="微软雅黑" w:hAnsi="微软雅黑" w:eastAsia="微软雅黑" w:cs="微软雅黑"/>
          <w:color w:val="32373F"/>
          <w:spacing w:val="3"/>
        </w:rPr>
        <w:t xml:space="preserve">日至 </w:t>
      </w:r>
      <w:r>
        <w:rPr>
          <w:color w:val="32373F"/>
          <w:spacing w:val="3"/>
        </w:rPr>
        <w:t>7</w:t>
      </w:r>
      <w:r>
        <w:rPr>
          <w:color w:val="32373F"/>
          <w:spacing w:val="36"/>
        </w:rPr>
        <w:t xml:space="preserve"> </w:t>
      </w:r>
      <w:r>
        <w:rPr>
          <w:rFonts w:ascii="微软雅黑" w:hAnsi="微软雅黑" w:eastAsia="微软雅黑" w:cs="微软雅黑"/>
          <w:color w:val="32373F"/>
          <w:spacing w:val="3"/>
        </w:rPr>
        <w:t>日热真空全程中，</w:t>
      </w:r>
      <w:r>
        <w:rPr>
          <w:color w:val="32373F"/>
          <w:spacing w:val="3"/>
        </w:rPr>
        <w:t xml:space="preserve">25 </w:t>
      </w:r>
      <w:r>
        <w:rPr>
          <w:rFonts w:ascii="微软雅黑" w:hAnsi="微软雅黑" w:eastAsia="微软雅黑" w:cs="微软雅黑"/>
          <w:color w:val="32373F"/>
          <w:spacing w:val="3"/>
        </w:rPr>
        <w:t>个晶体通道的拟合斜率随时间呈现清晰的周期性波动</w:t>
      </w:r>
      <w:r>
        <w:rPr>
          <w:rFonts w:ascii="微软雅黑" w:hAnsi="微软雅黑" w:eastAsia="微软雅黑" w:cs="微软雅黑"/>
          <w:color w:val="32373F"/>
          <w:spacing w:val="2"/>
        </w:rPr>
        <w:t>，波动幅度约为</w:t>
      </w:r>
      <w:r>
        <w:rPr>
          <w:color w:val="32373F"/>
          <w:spacing w:val="5"/>
        </w:rPr>
        <w:t xml:space="preserve">±5–8 </w:t>
      </w:r>
      <w:r>
        <w:rPr>
          <w:color w:val="32373F"/>
        </w:rPr>
        <w:t>ADC</w:t>
      </w:r>
      <w:r>
        <w:rPr>
          <w:color w:val="32373F"/>
          <w:spacing w:val="5"/>
        </w:rPr>
        <w:t>/</w:t>
      </w:r>
      <w:r>
        <w:rPr>
          <w:color w:val="32373F"/>
        </w:rPr>
        <w:t>mV</w:t>
      </w:r>
      <w:r>
        <w:rPr>
          <w:rFonts w:ascii="微软雅黑" w:hAnsi="微软雅黑" w:eastAsia="微软雅黑" w:cs="微软雅黑"/>
          <w:color w:val="32373F"/>
          <w:spacing w:val="5"/>
        </w:rPr>
        <w:t>，与热真空温度剖面高度同步，反映了电子学增益随温度的正常响应特性。各通</w:t>
      </w:r>
      <w:r>
        <w:rPr>
          <w:rFonts w:ascii="微软雅黑" w:hAnsi="微软雅黑" w:eastAsia="微软雅黑" w:cs="微软雅黑"/>
          <w:color w:val="32373F"/>
          <w:spacing w:val="4"/>
        </w:rPr>
        <w:t>道斜率整体维持在约</w:t>
      </w:r>
      <w:r>
        <w:rPr>
          <w:rFonts w:ascii="微软雅黑" w:hAnsi="微软雅黑" w:eastAsia="微软雅黑" w:cs="微软雅黑"/>
          <w:color w:val="32373F"/>
          <w:spacing w:val="33"/>
        </w:rPr>
        <w:t xml:space="preserve"> </w:t>
      </w:r>
      <w:r>
        <w:rPr>
          <w:color w:val="32373F"/>
          <w:spacing w:val="4"/>
        </w:rPr>
        <w:t xml:space="preserve">162–185 </w:t>
      </w: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范围内，无系统性单向漂移，在相同温度台阶下具有良好的可重复性。通道间斜率差异与单次测量结果一致，未发现</w:t>
      </w:r>
      <w:r>
        <w:rPr>
          <w:rFonts w:ascii="微软雅黑" w:hAnsi="微软雅黑" w:eastAsia="微软雅黑" w:cs="微软雅黑"/>
          <w:color w:val="32373F"/>
          <w:spacing w:val="3"/>
        </w:rPr>
        <w:t>增益异常跳变或持续性退化现象。</w:t>
      </w:r>
    </w:p>
    <w:p w14:paraId="4705048D">
      <w:pPr>
        <w:pStyle w:val="2"/>
        <w:spacing w:line="273" w:lineRule="auto"/>
        <w:rPr>
          <w:sz w:val="21"/>
        </w:rPr>
      </w:pPr>
    </w:p>
    <w:p w14:paraId="2B46BEDA">
      <w:pPr>
        <w:spacing w:line="30" w:lineRule="exact"/>
      </w:pPr>
      <w:r>
        <w:drawing>
          <wp:inline distT="0" distB="0" distL="0" distR="0">
            <wp:extent cx="6572250" cy="190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
                    <a:stretch>
                      <a:fillRect/>
                    </a:stretch>
                  </pic:blipFill>
                  <pic:spPr>
                    <a:xfrm>
                      <a:off x="0" y="0"/>
                      <a:ext cx="6572250" cy="19050"/>
                    </a:xfrm>
                    <a:prstGeom prst="rect">
                      <a:avLst/>
                    </a:prstGeom>
                  </pic:spPr>
                </pic:pic>
              </a:graphicData>
            </a:graphic>
          </wp:inline>
        </w:drawing>
      </w:r>
    </w:p>
    <w:p w14:paraId="2EF828CD">
      <w:pPr>
        <w:pStyle w:val="2"/>
        <w:spacing w:before="183" w:line="325" w:lineRule="auto"/>
        <w:ind w:right="7762" w:firstLine="9"/>
        <w:outlineLvl w:val="3"/>
        <w:rPr>
          <w:rFonts w:ascii="微软雅黑" w:hAnsi="微软雅黑" w:eastAsia="微软雅黑" w:cs="微软雅黑"/>
        </w:rPr>
      </w:pPr>
      <w:r>
        <w:rPr>
          <w:b/>
          <w:bCs/>
          <w:color w:val="32373F"/>
          <w:spacing w:val="3"/>
        </w:rPr>
        <w:t xml:space="preserve">5.2.2 </w:t>
      </w:r>
      <w:r>
        <w:rPr>
          <w:rFonts w:ascii="微软雅黑" w:hAnsi="微软雅黑" w:eastAsia="微软雅黑" w:cs="微软雅黑"/>
          <w:b/>
          <w:bCs/>
          <w:color w:val="32373F"/>
          <w:spacing w:val="3"/>
        </w:rPr>
        <w:t>主份低增益刻度特性</w:t>
      </w:r>
      <w:r>
        <w:rPr>
          <w:b/>
          <w:bCs/>
          <w:color w:val="32373F"/>
        </w:rPr>
        <w:t>ADC</w:t>
      </w:r>
      <w:r>
        <w:rPr>
          <w:b/>
          <w:bCs/>
          <w:color w:val="32373F"/>
          <w:spacing w:val="5"/>
        </w:rPr>
        <w:t xml:space="preserve"> </w:t>
      </w:r>
      <w:r>
        <w:rPr>
          <w:rFonts w:ascii="微软雅黑" w:hAnsi="微软雅黑" w:eastAsia="微软雅黑" w:cs="微软雅黑"/>
          <w:b/>
          <w:bCs/>
          <w:color w:val="32373F"/>
          <w:spacing w:val="5"/>
        </w:rPr>
        <w:t>响应与偏压关系</w:t>
      </w:r>
    </w:p>
    <w:p w14:paraId="31E5F99C">
      <w:pPr>
        <w:spacing w:line="325" w:lineRule="auto"/>
        <w:rPr>
          <w:rFonts w:ascii="微软雅黑" w:hAnsi="微软雅黑" w:eastAsia="微软雅黑" w:cs="微软雅黑"/>
        </w:rPr>
        <w:sectPr>
          <w:headerReference r:id="rId7" w:type="default"/>
          <w:pgSz w:w="11919" w:h="16858"/>
          <w:pgMar w:top="400" w:right="783" w:bottom="0" w:left="785" w:header="0" w:footer="0" w:gutter="0"/>
          <w:cols w:space="720" w:num="1"/>
        </w:sectPr>
      </w:pPr>
    </w:p>
    <w:p w14:paraId="575AD3FD">
      <w:pPr>
        <w:spacing w:before="160" w:line="10185" w:lineRule="exact"/>
      </w:pPr>
      <w:r>
        <w:rPr>
          <w:position w:val="-203"/>
        </w:rPr>
        <w:drawing>
          <wp:inline distT="0" distB="0" distL="0" distR="0">
            <wp:extent cx="6572250" cy="64674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9"/>
                    <a:stretch>
                      <a:fillRect/>
                    </a:stretch>
                  </pic:blipFill>
                  <pic:spPr>
                    <a:xfrm>
                      <a:off x="0" y="0"/>
                      <a:ext cx="6572250" cy="6467475"/>
                    </a:xfrm>
                    <a:prstGeom prst="rect">
                      <a:avLst/>
                    </a:prstGeom>
                  </pic:spPr>
                </pic:pic>
              </a:graphicData>
            </a:graphic>
          </wp:inline>
        </w:drawing>
      </w:r>
    </w:p>
    <w:p w14:paraId="56D79249">
      <w:pPr>
        <w:pStyle w:val="2"/>
        <w:spacing w:before="321" w:line="229" w:lineRule="auto"/>
        <w:ind w:right="48" w:firstLine="4"/>
        <w:rPr>
          <w:rFonts w:ascii="微软雅黑" w:hAnsi="微软雅黑" w:eastAsia="微软雅黑" w:cs="微软雅黑"/>
        </w:rPr>
      </w:pPr>
      <w:r>
        <w:rPr>
          <w:rFonts w:ascii="微软雅黑" w:hAnsi="微软雅黑" w:eastAsia="微软雅黑" w:cs="微软雅黑"/>
          <w:color w:val="32373F"/>
          <w:spacing w:val="4"/>
        </w:rPr>
        <w:t xml:space="preserve">高温保持阶段主份低增益读出链路 </w:t>
      </w:r>
      <w:r>
        <w:rPr>
          <w:color w:val="32373F"/>
          <w:spacing w:val="4"/>
        </w:rPr>
        <w:t xml:space="preserve">25 </w:t>
      </w:r>
      <w:r>
        <w:rPr>
          <w:rFonts w:ascii="微软雅黑" w:hAnsi="微软雅黑" w:eastAsia="微软雅黑" w:cs="微软雅黑"/>
          <w:color w:val="32373F"/>
          <w:spacing w:val="4"/>
        </w:rPr>
        <w:t>个晶体通道在全偏压扫描范围（</w:t>
      </w:r>
      <w:r>
        <w:rPr>
          <w:color w:val="32373F"/>
          <w:spacing w:val="4"/>
        </w:rPr>
        <w:t xml:space="preserve">0–4500 </w:t>
      </w:r>
      <w:r>
        <w:rPr>
          <w:color w:val="32373F"/>
        </w:rPr>
        <w:t>mV</w:t>
      </w:r>
      <w:r>
        <w:rPr>
          <w:rFonts w:ascii="微软雅黑" w:hAnsi="微软雅黑" w:eastAsia="微软雅黑" w:cs="微软雅黑"/>
          <w:color w:val="32373F"/>
          <w:spacing w:val="4"/>
        </w:rPr>
        <w:t>）内均保持良好的线性响应，无饱和现象，红色拟合直线与数据点在全量程内吻合优良。各通道拟合斜率集中在约</w:t>
      </w:r>
      <w:r>
        <w:rPr>
          <w:rFonts w:ascii="微软雅黑" w:hAnsi="微软雅黑" w:eastAsia="微软雅黑" w:cs="微软雅黑"/>
          <w:color w:val="32373F"/>
          <w:spacing w:val="21"/>
          <w:w w:val="101"/>
        </w:rPr>
        <w:t xml:space="preserve"> </w:t>
      </w:r>
      <w:r>
        <w:rPr>
          <w:color w:val="32373F"/>
          <w:spacing w:val="4"/>
        </w:rPr>
        <w:t>16.2–17.1</w:t>
      </w:r>
      <w:r>
        <w:rPr>
          <w:color w:val="32373F"/>
        </w:rPr>
        <w:t xml:space="preserve">  ADC</w:t>
      </w:r>
      <w:r>
        <w:rPr>
          <w:color w:val="32373F"/>
          <w:spacing w:val="5"/>
        </w:rPr>
        <w:t>/</w:t>
      </w:r>
      <w:r>
        <w:rPr>
          <w:color w:val="32373F"/>
        </w:rPr>
        <w:t>mV</w:t>
      </w:r>
      <w:r>
        <w:rPr>
          <w:color w:val="32373F"/>
          <w:spacing w:val="5"/>
        </w:rPr>
        <w:t xml:space="preserve"> </w:t>
      </w:r>
      <w:r>
        <w:rPr>
          <w:rFonts w:ascii="微软雅黑" w:hAnsi="微软雅黑" w:eastAsia="微软雅黑" w:cs="微软雅黑"/>
          <w:color w:val="32373F"/>
          <w:spacing w:val="5"/>
        </w:rPr>
        <w:t>之间，与热循环实验对应结果（</w:t>
      </w:r>
      <w:r>
        <w:rPr>
          <w:color w:val="32373F"/>
          <w:spacing w:val="5"/>
        </w:rPr>
        <w:t xml:space="preserve">16.3–17.1 </w:t>
      </w:r>
      <w:r>
        <w:rPr>
          <w:color w:val="32373F"/>
        </w:rPr>
        <w:t>ADC</w:t>
      </w:r>
      <w:r>
        <w:rPr>
          <w:color w:val="32373F"/>
          <w:spacing w:val="5"/>
        </w:rPr>
        <w:t>/</w:t>
      </w:r>
      <w:r>
        <w:rPr>
          <w:color w:val="32373F"/>
        </w:rPr>
        <w:t>mV</w:t>
      </w:r>
      <w:r>
        <w:rPr>
          <w:rFonts w:ascii="微软雅黑" w:hAnsi="微软雅黑" w:eastAsia="微软雅黑" w:cs="微软雅黑"/>
          <w:color w:val="32373F"/>
          <w:spacing w:val="5"/>
        </w:rPr>
        <w:t>）完全一致，说明热真空环境对低增</w:t>
      </w:r>
      <w:r>
        <w:rPr>
          <w:rFonts w:ascii="微软雅黑" w:hAnsi="微软雅黑" w:eastAsia="微软雅黑" w:cs="微软雅黑"/>
          <w:color w:val="32373F"/>
          <w:spacing w:val="4"/>
        </w:rPr>
        <w:t>益链路</w:t>
      </w:r>
      <w:r>
        <w:rPr>
          <w:rFonts w:ascii="微软雅黑" w:hAnsi="微软雅黑" w:eastAsia="微软雅黑" w:cs="微软雅黑"/>
          <w:color w:val="32373F"/>
          <w:spacing w:val="3"/>
        </w:rPr>
        <w:t>增益特性无显著影响。主份高低增益斜率之</w:t>
      </w:r>
      <w:r>
        <w:rPr>
          <w:rFonts w:ascii="微软雅黑" w:hAnsi="微软雅黑" w:eastAsia="微软雅黑" w:cs="微软雅黑"/>
          <w:color w:val="32373F"/>
          <w:spacing w:val="2"/>
        </w:rPr>
        <w:t>比约为</w:t>
      </w:r>
      <w:r>
        <w:rPr>
          <w:rFonts w:ascii="微软雅黑" w:hAnsi="微软雅黑" w:eastAsia="微软雅黑" w:cs="微软雅黑"/>
          <w:color w:val="32373F"/>
          <w:spacing w:val="22"/>
        </w:rPr>
        <w:t xml:space="preserve"> </w:t>
      </w:r>
      <w:r>
        <w:rPr>
          <w:color w:val="32373F"/>
          <w:spacing w:val="2"/>
        </w:rPr>
        <w:t>10.3</w:t>
      </w:r>
      <w:r>
        <w:rPr>
          <w:rFonts w:ascii="微软雅黑" w:hAnsi="微软雅黑" w:eastAsia="微软雅黑" w:cs="微软雅黑"/>
          <w:color w:val="32373F"/>
          <w:spacing w:val="2"/>
        </w:rPr>
        <w:t>，与双增益读出约</w:t>
      </w:r>
      <w:r>
        <w:rPr>
          <w:rFonts w:ascii="微软雅黑" w:hAnsi="微软雅黑" w:eastAsia="微软雅黑" w:cs="微软雅黑"/>
          <w:color w:val="32373F"/>
          <w:spacing w:val="34"/>
        </w:rPr>
        <w:t xml:space="preserve"> </w:t>
      </w:r>
      <w:r>
        <w:rPr>
          <w:color w:val="32373F"/>
          <w:spacing w:val="2"/>
        </w:rPr>
        <w:t xml:space="preserve">10 </w:t>
      </w:r>
      <w:r>
        <w:rPr>
          <w:rFonts w:ascii="微软雅黑" w:hAnsi="微软雅黑" w:eastAsia="微软雅黑" w:cs="微软雅黑"/>
          <w:color w:val="32373F"/>
          <w:spacing w:val="2"/>
        </w:rPr>
        <w:t>倍增益比的设计目标吻合，验证了高低增益链路之间增益比的准确性。</w:t>
      </w:r>
    </w:p>
    <w:p w14:paraId="3B9E475A">
      <w:pPr>
        <w:pStyle w:val="2"/>
        <w:spacing w:line="246" w:lineRule="auto"/>
        <w:rPr>
          <w:sz w:val="21"/>
        </w:rPr>
      </w:pPr>
    </w:p>
    <w:p w14:paraId="0DE3ABD9">
      <w:pPr>
        <w:spacing w:before="94" w:line="186" w:lineRule="auto"/>
        <w:ind w:left="3"/>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拟合斜率时间稳定性</w:t>
      </w:r>
    </w:p>
    <w:p w14:paraId="71DE745A">
      <w:pPr>
        <w:spacing w:line="186" w:lineRule="auto"/>
        <w:rPr>
          <w:rFonts w:ascii="微软雅黑" w:hAnsi="微软雅黑" w:eastAsia="微软雅黑" w:cs="微软雅黑"/>
          <w:sz w:val="22"/>
          <w:szCs w:val="22"/>
        </w:rPr>
        <w:sectPr>
          <w:pgSz w:w="11919" w:h="16858"/>
          <w:pgMar w:top="400" w:right="783" w:bottom="0" w:left="785" w:header="0" w:footer="0" w:gutter="0"/>
          <w:cols w:space="720" w:num="1"/>
        </w:sectPr>
      </w:pPr>
    </w:p>
    <w:p w14:paraId="35DE9ED4">
      <w:pPr>
        <w:spacing w:before="160" w:line="8865" w:lineRule="exact"/>
      </w:pPr>
      <w:r>
        <w:rPr>
          <w:position w:val="-177"/>
        </w:rPr>
        <w:drawing>
          <wp:inline distT="0" distB="0" distL="0" distR="0">
            <wp:extent cx="6572250" cy="56292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0"/>
                    <a:stretch>
                      <a:fillRect/>
                    </a:stretch>
                  </pic:blipFill>
                  <pic:spPr>
                    <a:xfrm>
                      <a:off x="0" y="0"/>
                      <a:ext cx="6572250" cy="5629275"/>
                    </a:xfrm>
                    <a:prstGeom prst="rect">
                      <a:avLst/>
                    </a:prstGeom>
                  </pic:spPr>
                </pic:pic>
              </a:graphicData>
            </a:graphic>
          </wp:inline>
        </w:drawing>
      </w:r>
    </w:p>
    <w:p w14:paraId="4853A24F">
      <w:pPr>
        <w:pStyle w:val="2"/>
        <w:spacing w:before="320" w:line="234" w:lineRule="auto"/>
        <w:ind w:firstLine="5"/>
        <w:rPr>
          <w:rFonts w:ascii="微软雅黑" w:hAnsi="微软雅黑" w:eastAsia="微软雅黑" w:cs="微软雅黑"/>
        </w:rPr>
      </w:pPr>
      <w:r>
        <w:rPr>
          <w:rFonts w:ascii="微软雅黑" w:hAnsi="微软雅黑" w:eastAsia="微软雅黑" w:cs="微软雅黑"/>
          <w:color w:val="32373F"/>
          <w:spacing w:val="5"/>
        </w:rPr>
        <w:t>热真空全程中，各通道拟合斜率随温度剖面呈</w:t>
      </w:r>
      <w:r>
        <w:rPr>
          <w:rFonts w:ascii="微软雅黑" w:hAnsi="微软雅黑" w:eastAsia="微软雅黑" w:cs="微软雅黑"/>
          <w:color w:val="32373F"/>
          <w:spacing w:val="4"/>
        </w:rPr>
        <w:t xml:space="preserve">规律性周期波动，波动幅度约为 </w:t>
      </w:r>
      <w:r>
        <w:rPr>
          <w:color w:val="32373F"/>
          <w:spacing w:val="4"/>
        </w:rPr>
        <w:t xml:space="preserve">±0.5–1.0 </w:t>
      </w:r>
      <w:r>
        <w:rPr>
          <w:color w:val="32373F"/>
        </w:rPr>
        <w:t>ADC</w:t>
      </w:r>
      <w:r>
        <w:rPr>
          <w:color w:val="32373F"/>
          <w:spacing w:val="4"/>
        </w:rPr>
        <w:t>/</w:t>
      </w:r>
      <w:r>
        <w:rPr>
          <w:color w:val="32373F"/>
        </w:rPr>
        <w:t>mV</w:t>
      </w:r>
      <w:r>
        <w:rPr>
          <w:rFonts w:ascii="微软雅黑" w:hAnsi="微软雅黑" w:eastAsia="微软雅黑" w:cs="微软雅黑"/>
          <w:color w:val="32373F"/>
          <w:spacing w:val="4"/>
        </w:rPr>
        <w:t>，远小</w:t>
      </w:r>
      <w:r>
        <w:rPr>
          <w:rFonts w:ascii="微软雅黑" w:hAnsi="微软雅黑" w:eastAsia="微软雅黑" w:cs="微软雅黑"/>
          <w:color w:val="32373F"/>
          <w:spacing w:val="5"/>
        </w:rPr>
        <w:t>于主份高增益链路的对应波动幅度，表明低增益链路增益系数对温度变化的敏感度相对较低。各通道</w:t>
      </w:r>
      <w:r>
        <w:rPr>
          <w:rFonts w:ascii="微软雅黑" w:hAnsi="微软雅黑" w:eastAsia="微软雅黑" w:cs="微软雅黑"/>
          <w:color w:val="32373F"/>
          <w:spacing w:val="4"/>
        </w:rPr>
        <w:t>斜率整体维持在约</w:t>
      </w:r>
      <w:r>
        <w:rPr>
          <w:rFonts w:ascii="微软雅黑" w:hAnsi="微软雅黑" w:eastAsia="微软雅黑" w:cs="微软雅黑"/>
          <w:color w:val="32373F"/>
          <w:spacing w:val="27"/>
          <w:w w:val="101"/>
        </w:rPr>
        <w:t xml:space="preserve"> </w:t>
      </w:r>
      <w:r>
        <w:rPr>
          <w:color w:val="32373F"/>
          <w:spacing w:val="4"/>
        </w:rPr>
        <w:t xml:space="preserve">15.5–18.0 </w:t>
      </w: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范围内，在相同温度台阶下具有良好的可重复性，无系统性漂移或增</w:t>
      </w:r>
      <w:r>
        <w:rPr>
          <w:rFonts w:ascii="微软雅黑" w:hAnsi="微软雅黑" w:eastAsia="微软雅黑" w:cs="微软雅黑"/>
          <w:color w:val="32373F"/>
          <w:spacing w:val="-3"/>
        </w:rPr>
        <w:t>益突变现象。</w:t>
      </w:r>
    </w:p>
    <w:p w14:paraId="067DD658">
      <w:pPr>
        <w:pStyle w:val="2"/>
        <w:spacing w:line="245" w:lineRule="auto"/>
        <w:rPr>
          <w:sz w:val="21"/>
        </w:rPr>
      </w:pPr>
    </w:p>
    <w:p w14:paraId="5336A5A1">
      <w:pPr>
        <w:spacing w:line="30" w:lineRule="exact"/>
      </w:pPr>
      <w:r>
        <w:drawing>
          <wp:inline distT="0" distB="0" distL="0" distR="0">
            <wp:extent cx="6572250" cy="190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
                    <a:stretch>
                      <a:fillRect/>
                    </a:stretch>
                  </pic:blipFill>
                  <pic:spPr>
                    <a:xfrm>
                      <a:off x="0" y="0"/>
                      <a:ext cx="6572250" cy="19050"/>
                    </a:xfrm>
                    <a:prstGeom prst="rect">
                      <a:avLst/>
                    </a:prstGeom>
                  </pic:spPr>
                </pic:pic>
              </a:graphicData>
            </a:graphic>
          </wp:inline>
        </w:drawing>
      </w:r>
    </w:p>
    <w:p w14:paraId="219DF3EB">
      <w:pPr>
        <w:pStyle w:val="2"/>
        <w:spacing w:before="182" w:line="335" w:lineRule="auto"/>
        <w:ind w:right="7762" w:firstLine="9"/>
        <w:outlineLvl w:val="3"/>
        <w:rPr>
          <w:rFonts w:ascii="微软雅黑" w:hAnsi="微软雅黑" w:eastAsia="微软雅黑" w:cs="微软雅黑"/>
        </w:rPr>
      </w:pPr>
      <w:r>
        <w:rPr>
          <w:b/>
          <w:bCs/>
          <w:color w:val="32373F"/>
          <w:spacing w:val="3"/>
        </w:rPr>
        <w:t xml:space="preserve">5.2.3 </w:t>
      </w:r>
      <w:r>
        <w:rPr>
          <w:rFonts w:ascii="微软雅黑" w:hAnsi="微软雅黑" w:eastAsia="微软雅黑" w:cs="微软雅黑"/>
          <w:b/>
          <w:bCs/>
          <w:color w:val="32373F"/>
          <w:spacing w:val="3"/>
        </w:rPr>
        <w:t>备份高增益刻度特性</w:t>
      </w:r>
      <w:r>
        <w:rPr>
          <w:b/>
          <w:bCs/>
          <w:color w:val="32373F"/>
        </w:rPr>
        <w:t>ADC</w:t>
      </w:r>
      <w:r>
        <w:rPr>
          <w:b/>
          <w:bCs/>
          <w:color w:val="32373F"/>
          <w:spacing w:val="5"/>
        </w:rPr>
        <w:t xml:space="preserve"> </w:t>
      </w:r>
      <w:r>
        <w:rPr>
          <w:rFonts w:ascii="微软雅黑" w:hAnsi="微软雅黑" w:eastAsia="微软雅黑" w:cs="微软雅黑"/>
          <w:b/>
          <w:bCs/>
          <w:color w:val="32373F"/>
          <w:spacing w:val="5"/>
        </w:rPr>
        <w:t>响应与偏压关系</w:t>
      </w:r>
    </w:p>
    <w:p w14:paraId="5CEF6A1A">
      <w:pPr>
        <w:spacing w:line="335" w:lineRule="auto"/>
        <w:rPr>
          <w:rFonts w:ascii="微软雅黑" w:hAnsi="微软雅黑" w:eastAsia="微软雅黑" w:cs="微软雅黑"/>
        </w:rPr>
        <w:sectPr>
          <w:pgSz w:w="11919" w:h="16858"/>
          <w:pgMar w:top="400" w:right="783" w:bottom="0" w:left="785" w:header="0" w:footer="0" w:gutter="0"/>
          <w:cols w:space="720" w:num="1"/>
        </w:sectPr>
      </w:pPr>
    </w:p>
    <w:p w14:paraId="04B27998">
      <w:pPr>
        <w:spacing w:before="160" w:line="10184" w:lineRule="exact"/>
      </w:pPr>
      <w:r>
        <w:rPr>
          <w:position w:val="-203"/>
        </w:rPr>
        <w:drawing>
          <wp:inline distT="0" distB="0" distL="0" distR="0">
            <wp:extent cx="6572250" cy="646684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1"/>
                    <a:stretch>
                      <a:fillRect/>
                    </a:stretch>
                  </pic:blipFill>
                  <pic:spPr>
                    <a:xfrm>
                      <a:off x="0" y="0"/>
                      <a:ext cx="6572250" cy="6467467"/>
                    </a:xfrm>
                    <a:prstGeom prst="rect">
                      <a:avLst/>
                    </a:prstGeom>
                  </pic:spPr>
                </pic:pic>
              </a:graphicData>
            </a:graphic>
          </wp:inline>
        </w:drawing>
      </w:r>
    </w:p>
    <w:p w14:paraId="78AE49A1">
      <w:pPr>
        <w:pStyle w:val="2"/>
        <w:spacing w:before="318" w:line="230" w:lineRule="auto"/>
        <w:ind w:left="2" w:right="53" w:firstLine="1"/>
        <w:jc w:val="both"/>
        <w:rPr>
          <w:rFonts w:ascii="微软雅黑" w:hAnsi="微软雅黑" w:eastAsia="微软雅黑" w:cs="微软雅黑"/>
        </w:rPr>
      </w:pPr>
      <w:r>
        <w:rPr>
          <w:rFonts w:ascii="微软雅黑" w:hAnsi="微软雅黑" w:eastAsia="微软雅黑" w:cs="微软雅黑"/>
          <w:color w:val="32373F"/>
          <w:spacing w:val="5"/>
        </w:rPr>
        <w:t xml:space="preserve">高温保持阶段备份高读出链路 </w:t>
      </w:r>
      <w:r>
        <w:rPr>
          <w:color w:val="32373F"/>
          <w:spacing w:val="5"/>
        </w:rPr>
        <w:t xml:space="preserve">25 </w:t>
      </w:r>
      <w:r>
        <w:rPr>
          <w:rFonts w:ascii="微软雅黑" w:hAnsi="微软雅黑" w:eastAsia="微软雅黑" w:cs="微软雅黑"/>
          <w:color w:val="32373F"/>
          <w:spacing w:val="5"/>
        </w:rPr>
        <w:t>个晶体通道的刻度响</w:t>
      </w:r>
      <w:r>
        <w:rPr>
          <w:rFonts w:ascii="微软雅黑" w:hAnsi="微软雅黑" w:eastAsia="微软雅黑" w:cs="微软雅黑"/>
          <w:color w:val="32373F"/>
          <w:spacing w:val="4"/>
        </w:rPr>
        <w:t xml:space="preserve">应特性与主份高增益链路高度一致，同样呈现低偏压段线性、高偏压段饱和的典型特征，饱和平台约为 </w:t>
      </w:r>
      <w:r>
        <w:rPr>
          <w:color w:val="32373F"/>
          <w:spacing w:val="4"/>
        </w:rPr>
        <w:t xml:space="preserve">60000–65000 </w:t>
      </w:r>
      <w:r>
        <w:rPr>
          <w:color w:val="32373F"/>
        </w:rPr>
        <w:t>ADC</w:t>
      </w:r>
      <w:r>
        <w:rPr>
          <w:rFonts w:ascii="微软雅黑" w:hAnsi="微软雅黑" w:eastAsia="微软雅黑" w:cs="微软雅黑"/>
          <w:color w:val="32373F"/>
          <w:spacing w:val="4"/>
        </w:rPr>
        <w:t>。各通道线性区间拟合斜率分布在约</w:t>
      </w:r>
      <w:r>
        <w:rPr>
          <w:rFonts w:ascii="微软雅黑" w:hAnsi="微软雅黑" w:eastAsia="微软雅黑" w:cs="微软雅黑"/>
          <w:color w:val="32373F"/>
          <w:spacing w:val="28"/>
          <w:w w:val="101"/>
        </w:rPr>
        <w:t xml:space="preserve"> </w:t>
      </w:r>
      <w:r>
        <w:rPr>
          <w:color w:val="32373F"/>
          <w:spacing w:val="4"/>
        </w:rPr>
        <w:t xml:space="preserve">165–174 </w:t>
      </w: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之间，与主份高增益链路（</w:t>
      </w:r>
      <w:r>
        <w:rPr>
          <w:color w:val="32373F"/>
          <w:spacing w:val="4"/>
        </w:rPr>
        <w:t xml:space="preserve">166–178 </w:t>
      </w:r>
      <w:r>
        <w:rPr>
          <w:color w:val="32373F"/>
        </w:rPr>
        <w:t>ADC</w:t>
      </w:r>
      <w:r>
        <w:rPr>
          <w:color w:val="32373F"/>
          <w:spacing w:val="4"/>
        </w:rPr>
        <w:t>/</w:t>
      </w:r>
      <w:r>
        <w:rPr>
          <w:color w:val="32373F"/>
        </w:rPr>
        <w:t>mV</w:t>
      </w:r>
      <w:r>
        <w:rPr>
          <w:rFonts w:ascii="微软雅黑" w:hAnsi="微软雅黑" w:eastAsia="微软雅黑" w:cs="微软雅黑"/>
          <w:color w:val="32373F"/>
          <w:spacing w:val="4"/>
        </w:rPr>
        <w:t>）基本吻合，主备份两端增益一致性良好。全部通道线性拟合残差小，未发现增益异常通道，备份高增益链路刻度特性满</w:t>
      </w:r>
      <w:r>
        <w:rPr>
          <w:rFonts w:ascii="微软雅黑" w:hAnsi="微软雅黑" w:eastAsia="微软雅黑" w:cs="微软雅黑"/>
          <w:color w:val="32373F"/>
          <w:spacing w:val="3"/>
        </w:rPr>
        <w:t>足预期要求。</w:t>
      </w:r>
    </w:p>
    <w:p w14:paraId="6249995E">
      <w:pPr>
        <w:pStyle w:val="2"/>
        <w:spacing w:line="242" w:lineRule="auto"/>
        <w:rPr>
          <w:sz w:val="21"/>
        </w:rPr>
      </w:pPr>
    </w:p>
    <w:p w14:paraId="4C42DB2B">
      <w:pPr>
        <w:spacing w:before="95" w:line="186" w:lineRule="auto"/>
        <w:ind w:left="3"/>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拟合斜率时间稳定性</w:t>
      </w:r>
    </w:p>
    <w:p w14:paraId="3B0305F9">
      <w:pPr>
        <w:spacing w:line="186" w:lineRule="auto"/>
        <w:rPr>
          <w:rFonts w:ascii="微软雅黑" w:hAnsi="微软雅黑" w:eastAsia="微软雅黑" w:cs="微软雅黑"/>
          <w:sz w:val="22"/>
          <w:szCs w:val="22"/>
        </w:rPr>
        <w:sectPr>
          <w:pgSz w:w="11919" w:h="16858"/>
          <w:pgMar w:top="400" w:right="783" w:bottom="0" w:left="785" w:header="0" w:footer="0" w:gutter="0"/>
          <w:cols w:space="720" w:num="1"/>
        </w:sectPr>
      </w:pPr>
    </w:p>
    <w:p w14:paraId="68FAF9BD">
      <w:pPr>
        <w:spacing w:before="160" w:line="8864" w:lineRule="exact"/>
      </w:pPr>
      <w:r>
        <w:rPr>
          <w:position w:val="-177"/>
        </w:rPr>
        <w:drawing>
          <wp:inline distT="0" distB="0" distL="0" distR="0">
            <wp:extent cx="6572250" cy="56286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2"/>
                    <a:stretch>
                      <a:fillRect/>
                    </a:stretch>
                  </pic:blipFill>
                  <pic:spPr>
                    <a:xfrm>
                      <a:off x="0" y="0"/>
                      <a:ext cx="6572250" cy="5629267"/>
                    </a:xfrm>
                    <a:prstGeom prst="rect">
                      <a:avLst/>
                    </a:prstGeom>
                  </pic:spPr>
                </pic:pic>
              </a:graphicData>
            </a:graphic>
          </wp:inline>
        </w:drawing>
      </w:r>
    </w:p>
    <w:p w14:paraId="14F5E807">
      <w:pPr>
        <w:pStyle w:val="2"/>
        <w:spacing w:line="267" w:lineRule="auto"/>
        <w:rPr>
          <w:sz w:val="21"/>
        </w:rPr>
      </w:pPr>
    </w:p>
    <w:p w14:paraId="50FBE76A">
      <w:pPr>
        <w:pStyle w:val="2"/>
        <w:spacing w:before="95" w:line="228" w:lineRule="auto"/>
        <w:ind w:left="2" w:firstLine="3"/>
        <w:rPr>
          <w:rFonts w:ascii="微软雅黑" w:hAnsi="微软雅黑" w:eastAsia="微软雅黑" w:cs="微软雅黑"/>
        </w:rPr>
      </w:pPr>
      <w:r>
        <w:rPr>
          <w:rFonts w:ascii="微软雅黑" w:hAnsi="微软雅黑" w:eastAsia="微软雅黑" w:cs="微软雅黑"/>
          <w:color w:val="32373F"/>
          <w:spacing w:val="5"/>
        </w:rPr>
        <w:t>热真空全程中，备份高增益各通道拟合斜率的时间演化规律与主份高增益链路高度一致</w:t>
      </w:r>
      <w:r>
        <w:rPr>
          <w:rFonts w:ascii="微软雅黑" w:hAnsi="微软雅黑" w:eastAsia="微软雅黑" w:cs="微软雅黑"/>
          <w:color w:val="32373F"/>
          <w:spacing w:val="4"/>
        </w:rPr>
        <w:t xml:space="preserve">，同样呈现与温度剖面对应的周期性波动，波动幅度约为 </w:t>
      </w:r>
      <w:r>
        <w:rPr>
          <w:color w:val="32373F"/>
          <w:spacing w:val="4"/>
        </w:rPr>
        <w:t xml:space="preserve">±4–7 </w:t>
      </w:r>
      <w:r>
        <w:rPr>
          <w:color w:val="32373F"/>
        </w:rPr>
        <w:t>ADC</w:t>
      </w:r>
      <w:r>
        <w:rPr>
          <w:color w:val="32373F"/>
          <w:spacing w:val="4"/>
        </w:rPr>
        <w:t>/</w:t>
      </w:r>
      <w:r>
        <w:rPr>
          <w:color w:val="32373F"/>
        </w:rPr>
        <w:t>mV</w:t>
      </w:r>
      <w:r>
        <w:rPr>
          <w:rFonts w:ascii="微软雅黑" w:hAnsi="微软雅黑" w:eastAsia="微软雅黑" w:cs="微软雅黑"/>
          <w:color w:val="32373F"/>
          <w:spacing w:val="4"/>
        </w:rPr>
        <w:t>，各通道斜率整体维持在约</w:t>
      </w:r>
      <w:r>
        <w:rPr>
          <w:rFonts w:ascii="微软雅黑" w:hAnsi="微软雅黑" w:eastAsia="微软雅黑" w:cs="微软雅黑"/>
          <w:color w:val="32373F"/>
          <w:spacing w:val="34"/>
        </w:rPr>
        <w:t xml:space="preserve"> </w:t>
      </w:r>
      <w:r>
        <w:rPr>
          <w:color w:val="32373F"/>
          <w:spacing w:val="4"/>
        </w:rPr>
        <w:t>160</w:t>
      </w:r>
      <w:r>
        <w:rPr>
          <w:color w:val="32373F"/>
          <w:spacing w:val="3"/>
        </w:rPr>
        <w:t xml:space="preserve">–180 </w:t>
      </w:r>
      <w:r>
        <w:rPr>
          <w:color w:val="32373F"/>
        </w:rPr>
        <w:t>ADC</w:t>
      </w:r>
      <w:r>
        <w:rPr>
          <w:color w:val="32373F"/>
          <w:spacing w:val="3"/>
        </w:rPr>
        <w:t>/</w:t>
      </w:r>
      <w:r>
        <w:rPr>
          <w:color w:val="32373F"/>
        </w:rPr>
        <w:t>mV</w:t>
      </w:r>
      <w:r>
        <w:rPr>
          <w:color w:val="32373F"/>
          <w:spacing w:val="3"/>
        </w:rPr>
        <w:t xml:space="preserve"> </w:t>
      </w:r>
      <w:r>
        <w:rPr>
          <w:rFonts w:ascii="微软雅黑" w:hAnsi="微软雅黑" w:eastAsia="微软雅黑" w:cs="微软雅黑"/>
          <w:color w:val="32373F"/>
          <w:spacing w:val="3"/>
        </w:rPr>
        <w:t>范</w:t>
      </w:r>
      <w:r>
        <w:rPr>
          <w:rFonts w:ascii="微软雅黑" w:hAnsi="微软雅黑" w:eastAsia="微软雅黑" w:cs="微软雅黑"/>
          <w:color w:val="32373F"/>
          <w:spacing w:val="5"/>
        </w:rPr>
        <w:t>围内。主备份两端斜率的周期性波动幅度、相位及均值水平均高度匹配，进一步验证了主备份高</w:t>
      </w:r>
      <w:r>
        <w:rPr>
          <w:rFonts w:ascii="微软雅黑" w:hAnsi="微软雅黑" w:eastAsia="微软雅黑" w:cs="微软雅黑"/>
          <w:color w:val="32373F"/>
          <w:spacing w:val="4"/>
        </w:rPr>
        <w:t>增益链路</w:t>
      </w:r>
      <w:r>
        <w:rPr>
          <w:rFonts w:ascii="微软雅黑" w:hAnsi="微软雅黑" w:eastAsia="微软雅黑" w:cs="微软雅黑"/>
          <w:color w:val="32373F"/>
          <w:spacing w:val="3"/>
        </w:rPr>
        <w:t>增益特性的一致性。全程未发现系统性漂移或增益异常跳变现象。</w:t>
      </w:r>
    </w:p>
    <w:p w14:paraId="45961EDE">
      <w:pPr>
        <w:pStyle w:val="2"/>
        <w:rPr>
          <w:sz w:val="21"/>
        </w:rPr>
      </w:pPr>
    </w:p>
    <w:p w14:paraId="2FA30EC4">
      <w:pPr>
        <w:spacing w:line="30" w:lineRule="exact"/>
      </w:pPr>
      <w:r>
        <w:drawing>
          <wp:inline distT="0" distB="0" distL="0" distR="0">
            <wp:extent cx="6572250" cy="190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
                    <a:stretch>
                      <a:fillRect/>
                    </a:stretch>
                  </pic:blipFill>
                  <pic:spPr>
                    <a:xfrm>
                      <a:off x="0" y="0"/>
                      <a:ext cx="6572250" cy="19050"/>
                    </a:xfrm>
                    <a:prstGeom prst="rect">
                      <a:avLst/>
                    </a:prstGeom>
                  </pic:spPr>
                </pic:pic>
              </a:graphicData>
            </a:graphic>
          </wp:inline>
        </w:drawing>
      </w:r>
    </w:p>
    <w:p w14:paraId="651782A1">
      <w:pPr>
        <w:pStyle w:val="2"/>
        <w:spacing w:before="182" w:line="335" w:lineRule="auto"/>
        <w:ind w:right="7762" w:firstLine="9"/>
        <w:outlineLvl w:val="3"/>
        <w:rPr>
          <w:rFonts w:ascii="微软雅黑" w:hAnsi="微软雅黑" w:eastAsia="微软雅黑" w:cs="微软雅黑"/>
        </w:rPr>
      </w:pPr>
      <w:r>
        <w:rPr>
          <w:b/>
          <w:bCs/>
          <w:color w:val="32373F"/>
          <w:spacing w:val="3"/>
        </w:rPr>
        <w:t xml:space="preserve">5.2.4 </w:t>
      </w:r>
      <w:r>
        <w:rPr>
          <w:rFonts w:ascii="微软雅黑" w:hAnsi="微软雅黑" w:eastAsia="微软雅黑" w:cs="微软雅黑"/>
          <w:b/>
          <w:bCs/>
          <w:color w:val="32373F"/>
          <w:spacing w:val="3"/>
        </w:rPr>
        <w:t>备份低增益刻度特性</w:t>
      </w:r>
      <w:r>
        <w:rPr>
          <w:b/>
          <w:bCs/>
          <w:color w:val="32373F"/>
        </w:rPr>
        <w:t>ADC</w:t>
      </w:r>
      <w:r>
        <w:rPr>
          <w:b/>
          <w:bCs/>
          <w:color w:val="32373F"/>
          <w:spacing w:val="5"/>
        </w:rPr>
        <w:t xml:space="preserve"> </w:t>
      </w:r>
      <w:r>
        <w:rPr>
          <w:rFonts w:ascii="微软雅黑" w:hAnsi="微软雅黑" w:eastAsia="微软雅黑" w:cs="微软雅黑"/>
          <w:b/>
          <w:bCs/>
          <w:color w:val="32373F"/>
          <w:spacing w:val="5"/>
        </w:rPr>
        <w:t>响应与偏压关系</w:t>
      </w:r>
    </w:p>
    <w:p w14:paraId="7705B491">
      <w:pPr>
        <w:spacing w:line="335" w:lineRule="auto"/>
        <w:rPr>
          <w:rFonts w:ascii="微软雅黑" w:hAnsi="微软雅黑" w:eastAsia="微软雅黑" w:cs="微软雅黑"/>
        </w:rPr>
        <w:sectPr>
          <w:pgSz w:w="11919" w:h="16858"/>
          <w:pgMar w:top="400" w:right="783" w:bottom="0" w:left="785" w:header="0" w:footer="0" w:gutter="0"/>
          <w:cols w:space="720" w:num="1"/>
        </w:sectPr>
      </w:pPr>
    </w:p>
    <w:p w14:paraId="3D5CD24A">
      <w:pPr>
        <w:spacing w:before="160" w:line="10184" w:lineRule="exact"/>
      </w:pPr>
      <w:r>
        <w:rPr>
          <w:position w:val="-203"/>
        </w:rPr>
        <w:drawing>
          <wp:inline distT="0" distB="0" distL="0" distR="0">
            <wp:extent cx="6572250" cy="646684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3"/>
                    <a:stretch>
                      <a:fillRect/>
                    </a:stretch>
                  </pic:blipFill>
                  <pic:spPr>
                    <a:xfrm>
                      <a:off x="0" y="0"/>
                      <a:ext cx="6572250" cy="6467467"/>
                    </a:xfrm>
                    <a:prstGeom prst="rect">
                      <a:avLst/>
                    </a:prstGeom>
                  </pic:spPr>
                </pic:pic>
              </a:graphicData>
            </a:graphic>
          </wp:inline>
        </w:drawing>
      </w:r>
    </w:p>
    <w:p w14:paraId="009B9BDD">
      <w:pPr>
        <w:pStyle w:val="2"/>
        <w:spacing w:before="322" w:line="237" w:lineRule="auto"/>
        <w:ind w:left="1" w:right="74" w:firstLine="3"/>
        <w:rPr>
          <w:rFonts w:ascii="微软雅黑" w:hAnsi="微软雅黑" w:eastAsia="微软雅黑" w:cs="微软雅黑"/>
        </w:rPr>
      </w:pPr>
      <w:r>
        <w:rPr>
          <w:rFonts w:ascii="微软雅黑" w:hAnsi="微软雅黑" w:eastAsia="微软雅黑" w:cs="微软雅黑"/>
          <w:color w:val="32373F"/>
          <w:spacing w:val="5"/>
        </w:rPr>
        <w:t xml:space="preserve">高温保持阶段备份低增益读出链路 </w:t>
      </w:r>
      <w:r>
        <w:rPr>
          <w:color w:val="32373F"/>
          <w:spacing w:val="5"/>
        </w:rPr>
        <w:t xml:space="preserve">25 </w:t>
      </w:r>
      <w:r>
        <w:rPr>
          <w:rFonts w:ascii="微软雅黑" w:hAnsi="微软雅黑" w:eastAsia="微软雅黑" w:cs="微软雅黑"/>
          <w:color w:val="32373F"/>
          <w:spacing w:val="5"/>
        </w:rPr>
        <w:t>个晶体通道在全</w:t>
      </w:r>
      <w:r>
        <w:rPr>
          <w:rFonts w:ascii="微软雅黑" w:hAnsi="微软雅黑" w:eastAsia="微软雅黑" w:cs="微软雅黑"/>
          <w:color w:val="32373F"/>
          <w:spacing w:val="4"/>
        </w:rPr>
        <w:t>偏压扫描范围内均表现出优良的线性响应，与主份低增益链路特性完全一致。各通道拟合斜率集中在约</w:t>
      </w:r>
      <w:r>
        <w:rPr>
          <w:rFonts w:ascii="微软雅黑" w:hAnsi="微软雅黑" w:eastAsia="微软雅黑" w:cs="微软雅黑"/>
          <w:color w:val="32373F"/>
          <w:spacing w:val="22"/>
          <w:w w:val="101"/>
        </w:rPr>
        <w:t xml:space="preserve"> </w:t>
      </w:r>
      <w:r>
        <w:rPr>
          <w:color w:val="32373F"/>
          <w:spacing w:val="4"/>
        </w:rPr>
        <w:t xml:space="preserve">16.2–16.8 </w:t>
      </w: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之间，与主份低增益</w:t>
      </w:r>
      <w:r>
        <w:rPr>
          <w:rFonts w:ascii="微软雅黑" w:hAnsi="微软雅黑" w:eastAsia="微软雅黑" w:cs="微软雅黑"/>
          <w:color w:val="32373F"/>
          <w:spacing w:val="3"/>
        </w:rPr>
        <w:t>（</w:t>
      </w:r>
      <w:r>
        <w:rPr>
          <w:color w:val="32373F"/>
          <w:spacing w:val="3"/>
        </w:rPr>
        <w:t>16.2–</w:t>
      </w:r>
      <w:r>
        <w:rPr>
          <w:color w:val="32373F"/>
        </w:rPr>
        <w:t xml:space="preserve">  </w:t>
      </w:r>
      <w:r>
        <w:rPr>
          <w:color w:val="32373F"/>
          <w:spacing w:val="5"/>
        </w:rPr>
        <w:t xml:space="preserve">17.1 </w:t>
      </w:r>
      <w:r>
        <w:rPr>
          <w:color w:val="32373F"/>
        </w:rPr>
        <w:t>ADC</w:t>
      </w:r>
      <w:r>
        <w:rPr>
          <w:color w:val="32373F"/>
          <w:spacing w:val="5"/>
        </w:rPr>
        <w:t>/</w:t>
      </w:r>
      <w:r>
        <w:rPr>
          <w:color w:val="32373F"/>
        </w:rPr>
        <w:t>mV</w:t>
      </w:r>
      <w:r>
        <w:rPr>
          <w:rFonts w:ascii="微软雅黑" w:hAnsi="微软雅黑" w:eastAsia="微软雅黑" w:cs="微软雅黑"/>
          <w:color w:val="32373F"/>
          <w:spacing w:val="5"/>
        </w:rPr>
        <w:t>）高度吻合，主备份两端低增益增益系数差异极小。备份</w:t>
      </w:r>
      <w:r>
        <w:rPr>
          <w:rFonts w:ascii="微软雅黑" w:hAnsi="微软雅黑" w:eastAsia="微软雅黑" w:cs="微软雅黑"/>
          <w:color w:val="32373F"/>
          <w:spacing w:val="4"/>
        </w:rPr>
        <w:t>低增益与备份高增益斜率之比约</w:t>
      </w:r>
      <w:r>
        <w:rPr>
          <w:rFonts w:ascii="微软雅黑" w:hAnsi="微软雅黑" w:eastAsia="微软雅黑" w:cs="微软雅黑"/>
          <w:color w:val="32373F"/>
          <w:spacing w:val="2"/>
        </w:rPr>
        <w:t>为</w:t>
      </w:r>
      <w:r>
        <w:rPr>
          <w:rFonts w:ascii="微软雅黑" w:hAnsi="微软雅黑" w:eastAsia="微软雅黑" w:cs="微软雅黑"/>
          <w:color w:val="32373F"/>
          <w:spacing w:val="21"/>
          <w:w w:val="101"/>
        </w:rPr>
        <w:t xml:space="preserve"> </w:t>
      </w:r>
      <w:r>
        <w:rPr>
          <w:color w:val="32373F"/>
          <w:spacing w:val="2"/>
        </w:rPr>
        <w:t>10.2</w:t>
      </w:r>
      <w:r>
        <w:rPr>
          <w:rFonts w:ascii="微软雅黑" w:hAnsi="微软雅黑" w:eastAsia="微软雅黑" w:cs="微软雅黑"/>
          <w:color w:val="32373F"/>
          <w:spacing w:val="2"/>
        </w:rPr>
        <w:t>，同样符合约</w:t>
      </w:r>
      <w:r>
        <w:rPr>
          <w:rFonts w:ascii="微软雅黑" w:hAnsi="微软雅黑" w:eastAsia="微软雅黑" w:cs="微软雅黑"/>
          <w:color w:val="32373F"/>
          <w:spacing w:val="34"/>
        </w:rPr>
        <w:t xml:space="preserve"> </w:t>
      </w:r>
      <w:r>
        <w:rPr>
          <w:color w:val="32373F"/>
          <w:spacing w:val="2"/>
        </w:rPr>
        <w:t xml:space="preserve">10 </w:t>
      </w:r>
      <w:r>
        <w:rPr>
          <w:rFonts w:ascii="微软雅黑" w:hAnsi="微软雅黑" w:eastAsia="微软雅黑" w:cs="微软雅黑"/>
          <w:color w:val="32373F"/>
          <w:spacing w:val="2"/>
        </w:rPr>
        <w:t>倍增益比的设计指标，全部通道正常，未发</w:t>
      </w:r>
      <w:r>
        <w:rPr>
          <w:rFonts w:ascii="微软雅黑" w:hAnsi="微软雅黑" w:eastAsia="微软雅黑" w:cs="微软雅黑"/>
          <w:color w:val="32373F"/>
          <w:spacing w:val="1"/>
        </w:rPr>
        <w:t>现线性度异常。</w:t>
      </w:r>
    </w:p>
    <w:p w14:paraId="53E24B1E">
      <w:pPr>
        <w:spacing w:before="290" w:line="186" w:lineRule="auto"/>
        <w:ind w:left="3"/>
        <w:rPr>
          <w:rFonts w:ascii="微软雅黑" w:hAnsi="微软雅黑" w:eastAsia="微软雅黑" w:cs="微软雅黑"/>
          <w:sz w:val="22"/>
          <w:szCs w:val="22"/>
        </w:rPr>
      </w:pPr>
      <w:r>
        <w:rPr>
          <w:rFonts w:ascii="微软雅黑" w:hAnsi="微软雅黑" w:eastAsia="微软雅黑" w:cs="微软雅黑"/>
          <w:b/>
          <w:bCs/>
          <w:color w:val="32373F"/>
          <w:spacing w:val="4"/>
          <w:sz w:val="22"/>
          <w:szCs w:val="22"/>
        </w:rPr>
        <w:t>拟合斜率时间稳定性</w:t>
      </w:r>
    </w:p>
    <w:p w14:paraId="3079C416">
      <w:pPr>
        <w:spacing w:line="186" w:lineRule="auto"/>
        <w:rPr>
          <w:rFonts w:ascii="微软雅黑" w:hAnsi="微软雅黑" w:eastAsia="微软雅黑" w:cs="微软雅黑"/>
          <w:sz w:val="22"/>
          <w:szCs w:val="22"/>
        </w:rPr>
        <w:sectPr>
          <w:pgSz w:w="11919" w:h="16858"/>
          <w:pgMar w:top="400" w:right="783" w:bottom="0" w:left="785" w:header="0" w:footer="0" w:gutter="0"/>
          <w:cols w:space="720" w:num="1"/>
        </w:sectPr>
      </w:pPr>
    </w:p>
    <w:p w14:paraId="3A11C1B4">
      <w:pPr>
        <w:spacing w:before="160" w:line="8864" w:lineRule="exact"/>
      </w:pPr>
      <w:r>
        <w:rPr>
          <w:position w:val="-177"/>
        </w:rPr>
        <w:drawing>
          <wp:inline distT="0" distB="0" distL="0" distR="0">
            <wp:extent cx="6572250" cy="56286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4"/>
                    <a:stretch>
                      <a:fillRect/>
                    </a:stretch>
                  </pic:blipFill>
                  <pic:spPr>
                    <a:xfrm>
                      <a:off x="0" y="0"/>
                      <a:ext cx="6572250" cy="5629267"/>
                    </a:xfrm>
                    <a:prstGeom prst="rect">
                      <a:avLst/>
                    </a:prstGeom>
                  </pic:spPr>
                </pic:pic>
              </a:graphicData>
            </a:graphic>
          </wp:inline>
        </w:drawing>
      </w:r>
    </w:p>
    <w:p w14:paraId="0F670FE9">
      <w:pPr>
        <w:pStyle w:val="2"/>
        <w:spacing w:before="320" w:line="235" w:lineRule="auto"/>
        <w:ind w:left="3" w:right="154" w:firstLine="2"/>
      </w:pPr>
      <w:r>
        <w:rPr>
          <w:rFonts w:ascii="微软雅黑" w:hAnsi="微软雅黑" w:eastAsia="微软雅黑" w:cs="微软雅黑"/>
          <w:color w:val="32373F"/>
          <w:spacing w:val="5"/>
        </w:rPr>
        <w:t>热真空全程中，备份低增益各通道拟合斜率随</w:t>
      </w:r>
      <w:r>
        <w:rPr>
          <w:rFonts w:ascii="微软雅黑" w:hAnsi="微软雅黑" w:eastAsia="微软雅黑" w:cs="微软雅黑"/>
          <w:color w:val="32373F"/>
          <w:spacing w:val="4"/>
        </w:rPr>
        <w:t xml:space="preserve">时间的波动幅度约为 </w:t>
      </w:r>
      <w:r>
        <w:rPr>
          <w:color w:val="32373F"/>
          <w:spacing w:val="4"/>
        </w:rPr>
        <w:t xml:space="preserve">±0.5–1.0 </w:t>
      </w:r>
      <w:r>
        <w:rPr>
          <w:color w:val="32373F"/>
        </w:rPr>
        <w:t>ADC</w:t>
      </w:r>
      <w:r>
        <w:rPr>
          <w:color w:val="32373F"/>
          <w:spacing w:val="4"/>
        </w:rPr>
        <w:t>/</w:t>
      </w:r>
      <w:r>
        <w:rPr>
          <w:color w:val="32373F"/>
        </w:rPr>
        <w:t>mV</w:t>
      </w:r>
      <w:r>
        <w:rPr>
          <w:rFonts w:ascii="微软雅黑" w:hAnsi="微软雅黑" w:eastAsia="微软雅黑" w:cs="微软雅黑"/>
          <w:color w:val="32373F"/>
          <w:spacing w:val="4"/>
        </w:rPr>
        <w:t>，与主份低增益链路的表现高度一致，对温度变化的响应较高增益链路更为平稳。各通道斜率整体维持在约</w:t>
      </w:r>
      <w:r>
        <w:rPr>
          <w:rFonts w:ascii="微软雅黑" w:hAnsi="微软雅黑" w:eastAsia="微软雅黑" w:cs="微软雅黑"/>
          <w:color w:val="32373F"/>
          <w:spacing w:val="22"/>
        </w:rPr>
        <w:t xml:space="preserve"> </w:t>
      </w:r>
      <w:r>
        <w:rPr>
          <w:color w:val="32373F"/>
          <w:spacing w:val="4"/>
        </w:rPr>
        <w:t>15.5</w:t>
      </w:r>
      <w:r>
        <w:rPr>
          <w:color w:val="32373F"/>
          <w:spacing w:val="3"/>
        </w:rPr>
        <w:t>–18.0</w:t>
      </w:r>
    </w:p>
    <w:p w14:paraId="4F37E006">
      <w:pPr>
        <w:pStyle w:val="2"/>
        <w:spacing w:before="22" w:line="187" w:lineRule="auto"/>
        <w:rPr>
          <w:rFonts w:ascii="微软雅黑" w:hAnsi="微软雅黑" w:eastAsia="微软雅黑" w:cs="微软雅黑"/>
        </w:rPr>
      </w:pPr>
      <w:r>
        <w:rPr>
          <w:color w:val="32373F"/>
        </w:rPr>
        <w:t>ADC</w:t>
      </w:r>
      <w:r>
        <w:rPr>
          <w:color w:val="32373F"/>
          <w:spacing w:val="4"/>
        </w:rPr>
        <w:t>/</w:t>
      </w:r>
      <w:r>
        <w:rPr>
          <w:color w:val="32373F"/>
        </w:rPr>
        <w:t>mV</w:t>
      </w:r>
      <w:r>
        <w:rPr>
          <w:color w:val="32373F"/>
          <w:spacing w:val="4"/>
        </w:rPr>
        <w:t xml:space="preserve"> </w:t>
      </w:r>
      <w:r>
        <w:rPr>
          <w:rFonts w:ascii="微软雅黑" w:hAnsi="微软雅黑" w:eastAsia="微软雅黑" w:cs="微软雅黑"/>
          <w:color w:val="32373F"/>
          <w:spacing w:val="4"/>
        </w:rPr>
        <w:t>范围内，在相同温度台阶下具有良好的可重复性，无系统性漂移或增益突变。</w:t>
      </w:r>
    </w:p>
    <w:p w14:paraId="36A1D62E">
      <w:pPr>
        <w:pStyle w:val="2"/>
        <w:spacing w:line="301" w:lineRule="auto"/>
        <w:rPr>
          <w:sz w:val="21"/>
        </w:rPr>
      </w:pPr>
    </w:p>
    <w:p w14:paraId="2D15D462">
      <w:pPr>
        <w:spacing w:line="30" w:lineRule="exact"/>
      </w:pPr>
      <w:r>
        <w:drawing>
          <wp:inline distT="0" distB="0" distL="0" distR="0">
            <wp:extent cx="6572250" cy="190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
                    <a:stretch>
                      <a:fillRect/>
                    </a:stretch>
                  </pic:blipFill>
                  <pic:spPr>
                    <a:xfrm>
                      <a:off x="0" y="0"/>
                      <a:ext cx="6572250" cy="19050"/>
                    </a:xfrm>
                    <a:prstGeom prst="rect">
                      <a:avLst/>
                    </a:prstGeom>
                  </pic:spPr>
                </pic:pic>
              </a:graphicData>
            </a:graphic>
          </wp:inline>
        </w:drawing>
      </w:r>
    </w:p>
    <w:p w14:paraId="56F48472">
      <w:pPr>
        <w:pStyle w:val="2"/>
        <w:spacing w:before="183" w:line="187" w:lineRule="auto"/>
        <w:ind w:left="9"/>
        <w:outlineLvl w:val="3"/>
        <w:rPr>
          <w:rFonts w:ascii="微软雅黑" w:hAnsi="微软雅黑" w:eastAsia="微软雅黑" w:cs="微软雅黑"/>
        </w:rPr>
      </w:pPr>
      <w:r>
        <w:rPr>
          <w:b/>
          <w:bCs/>
          <w:color w:val="32373F"/>
          <w:spacing w:val="3"/>
        </w:rPr>
        <w:t xml:space="preserve">5.2.5 </w:t>
      </w:r>
      <w:r>
        <w:rPr>
          <w:rFonts w:ascii="微软雅黑" w:hAnsi="微软雅黑" w:eastAsia="微软雅黑" w:cs="微软雅黑"/>
          <w:b/>
          <w:bCs/>
          <w:color w:val="32373F"/>
          <w:spacing w:val="3"/>
        </w:rPr>
        <w:t>刻度分析综合小结</w:t>
      </w:r>
    </w:p>
    <w:p w14:paraId="40AFE281">
      <w:pPr>
        <w:spacing w:before="216" w:line="187" w:lineRule="auto"/>
        <w:ind w:left="4"/>
        <w:rPr>
          <w:rFonts w:ascii="微软雅黑" w:hAnsi="微软雅黑" w:eastAsia="微软雅黑" w:cs="微软雅黑"/>
          <w:sz w:val="22"/>
          <w:szCs w:val="22"/>
        </w:rPr>
      </w:pPr>
      <w:r>
        <w:rPr>
          <w:rFonts w:ascii="微软雅黑" w:hAnsi="微软雅黑" w:eastAsia="微软雅黑" w:cs="微软雅黑"/>
          <w:color w:val="32373F"/>
          <w:spacing w:val="3"/>
          <w:sz w:val="22"/>
          <w:szCs w:val="22"/>
        </w:rPr>
        <w:t>综合四组读出链路在热真空实验全程中的刻度分析结果，主要结论如下：</w:t>
      </w:r>
    </w:p>
    <w:p w14:paraId="6210731B">
      <w:pPr>
        <w:pStyle w:val="2"/>
        <w:spacing w:before="324" w:line="229" w:lineRule="auto"/>
        <w:ind w:left="156"/>
      </w:pPr>
      <w:r>
        <w:rPr>
          <w:color w:val="32373F"/>
          <w:spacing w:val="4"/>
        </w:rPr>
        <w:t xml:space="preserve">1. </w:t>
      </w:r>
      <w:r>
        <w:rPr>
          <w:rFonts w:ascii="微软雅黑" w:hAnsi="微软雅黑" w:eastAsia="微软雅黑" w:cs="微软雅黑"/>
          <w:color w:val="32373F"/>
          <w:spacing w:val="4"/>
        </w:rPr>
        <w:t>高增益链路（主份与备份）在低偏压段均呈现良好线性，高偏压段正常饱和，饱和平台约为</w:t>
      </w:r>
      <w:r>
        <w:rPr>
          <w:rFonts w:ascii="微软雅黑" w:hAnsi="微软雅黑" w:eastAsia="微软雅黑" w:cs="微软雅黑"/>
          <w:color w:val="32373F"/>
          <w:spacing w:val="3"/>
        </w:rPr>
        <w:t xml:space="preserve"> </w:t>
      </w:r>
      <w:r>
        <w:rPr>
          <w:color w:val="32373F"/>
          <w:spacing w:val="3"/>
        </w:rPr>
        <w:t>60000–</w:t>
      </w:r>
    </w:p>
    <w:p w14:paraId="1C242156">
      <w:pPr>
        <w:pStyle w:val="2"/>
        <w:spacing w:before="1" w:line="239" w:lineRule="auto"/>
        <w:ind w:left="385" w:right="42" w:firstLine="5"/>
        <w:rPr>
          <w:rFonts w:ascii="微软雅黑" w:hAnsi="微软雅黑" w:eastAsia="微软雅黑" w:cs="微软雅黑"/>
        </w:rPr>
      </w:pPr>
      <w:r>
        <w:rPr>
          <w:color w:val="32373F"/>
          <w:spacing w:val="4"/>
        </w:rPr>
        <w:t xml:space="preserve">65000 </w:t>
      </w:r>
      <w:r>
        <w:rPr>
          <w:color w:val="32373F"/>
        </w:rPr>
        <w:t>ADC</w:t>
      </w:r>
      <w:r>
        <w:rPr>
          <w:rFonts w:ascii="微软雅黑" w:hAnsi="微软雅黑" w:eastAsia="微软雅黑" w:cs="微软雅黑"/>
          <w:color w:val="32373F"/>
          <w:spacing w:val="4"/>
        </w:rPr>
        <w:t>，符合模数转换器量程设计预期；低增益链路在全偏压扫描范围内保持优良线性，无饱和</w:t>
      </w:r>
      <w:r>
        <w:rPr>
          <w:rFonts w:ascii="微软雅黑" w:hAnsi="微软雅黑" w:eastAsia="微软雅黑" w:cs="微软雅黑"/>
          <w:color w:val="32373F"/>
          <w:spacing w:val="-8"/>
        </w:rPr>
        <w:t>现象；</w:t>
      </w:r>
    </w:p>
    <w:p w14:paraId="75BCF4CE">
      <w:pPr>
        <w:pStyle w:val="2"/>
        <w:spacing w:before="99" w:line="239" w:lineRule="auto"/>
        <w:ind w:left="384" w:right="67" w:hanging="246"/>
        <w:rPr>
          <w:rFonts w:ascii="微软雅黑" w:hAnsi="微软雅黑" w:eastAsia="微软雅黑" w:cs="微软雅黑"/>
        </w:rPr>
      </w:pPr>
      <w:r>
        <w:rPr>
          <w:color w:val="32373F"/>
          <w:spacing w:val="4"/>
        </w:rPr>
        <w:t>2.</w:t>
      </w:r>
      <w:r>
        <w:rPr>
          <w:color w:val="32373F"/>
          <w:spacing w:val="34"/>
        </w:rPr>
        <w:t xml:space="preserve"> </w:t>
      </w:r>
      <w:r>
        <w:rPr>
          <w:rFonts w:ascii="微软雅黑" w:hAnsi="微软雅黑" w:eastAsia="微软雅黑" w:cs="微软雅黑"/>
          <w:color w:val="32373F"/>
          <w:spacing w:val="4"/>
        </w:rPr>
        <w:t>四组链路拟合斜率均与热循环实验对应结果高度吻合，热真空环境引入后各链路增益系数未发生明显</w:t>
      </w:r>
      <w:r>
        <w:rPr>
          <w:rFonts w:ascii="微软雅黑" w:hAnsi="微软雅黑" w:eastAsia="微软雅黑" w:cs="微软雅黑"/>
          <w:color w:val="32373F"/>
        </w:rPr>
        <w:t>偏移，增益特性稳定；</w:t>
      </w:r>
    </w:p>
    <w:p w14:paraId="3F7DCB93">
      <w:pPr>
        <w:pStyle w:val="2"/>
        <w:spacing w:before="17" w:line="239" w:lineRule="auto"/>
        <w:ind w:left="384" w:right="203" w:hanging="243"/>
        <w:rPr>
          <w:rFonts w:ascii="微软雅黑" w:hAnsi="微软雅黑" w:eastAsia="微软雅黑" w:cs="微软雅黑"/>
        </w:rPr>
      </w:pPr>
      <w:r>
        <w:rPr>
          <w:color w:val="32373F"/>
          <w:spacing w:val="3"/>
        </w:rPr>
        <w:t xml:space="preserve">3. </w:t>
      </w:r>
      <w:r>
        <w:rPr>
          <w:rFonts w:ascii="微软雅黑" w:hAnsi="微软雅黑" w:eastAsia="微软雅黑" w:cs="微软雅黑"/>
          <w:color w:val="32373F"/>
          <w:spacing w:val="3"/>
        </w:rPr>
        <w:t>高低增益斜率之比约为</w:t>
      </w:r>
      <w:r>
        <w:rPr>
          <w:rFonts w:ascii="微软雅黑" w:hAnsi="微软雅黑" w:eastAsia="微软雅黑" w:cs="微软雅黑"/>
          <w:color w:val="32373F"/>
          <w:spacing w:val="22"/>
        </w:rPr>
        <w:t xml:space="preserve"> </w:t>
      </w:r>
      <w:r>
        <w:rPr>
          <w:color w:val="32373F"/>
          <w:spacing w:val="3"/>
        </w:rPr>
        <w:t>10.2–10.3</w:t>
      </w:r>
      <w:r>
        <w:rPr>
          <w:rFonts w:ascii="微软雅黑" w:hAnsi="微软雅黑" w:eastAsia="微软雅黑" w:cs="微软雅黑"/>
          <w:color w:val="32373F"/>
          <w:spacing w:val="3"/>
        </w:rPr>
        <w:t>，与约</w:t>
      </w:r>
      <w:r>
        <w:rPr>
          <w:rFonts w:ascii="微软雅黑" w:hAnsi="微软雅黑" w:eastAsia="微软雅黑" w:cs="微软雅黑"/>
          <w:color w:val="32373F"/>
          <w:spacing w:val="34"/>
        </w:rPr>
        <w:t xml:space="preserve"> </w:t>
      </w:r>
      <w:r>
        <w:rPr>
          <w:color w:val="32373F"/>
          <w:spacing w:val="3"/>
        </w:rPr>
        <w:t xml:space="preserve">10 </w:t>
      </w:r>
      <w:r>
        <w:rPr>
          <w:rFonts w:ascii="微软雅黑" w:hAnsi="微软雅黑" w:eastAsia="微软雅黑" w:cs="微软雅黑"/>
          <w:color w:val="32373F"/>
          <w:spacing w:val="3"/>
        </w:rPr>
        <w:t>倍增益比的设计目标吻合，双增益读</w:t>
      </w:r>
      <w:r>
        <w:rPr>
          <w:rFonts w:ascii="微软雅黑" w:hAnsi="微软雅黑" w:eastAsia="微软雅黑" w:cs="微软雅黑"/>
          <w:color w:val="32373F"/>
          <w:spacing w:val="2"/>
        </w:rPr>
        <w:t>出方案的实现精度</w:t>
      </w:r>
      <w:r>
        <w:rPr>
          <w:rFonts w:ascii="微软雅黑" w:hAnsi="微软雅黑" w:eastAsia="微软雅黑" w:cs="微软雅黑"/>
          <w:color w:val="32373F"/>
          <w:spacing w:val="1"/>
        </w:rPr>
        <w:t>在热真空环境下得到验证；</w:t>
      </w:r>
    </w:p>
    <w:p w14:paraId="70DF89D2">
      <w:pPr>
        <w:pStyle w:val="2"/>
        <w:spacing w:before="57" w:line="235" w:lineRule="auto"/>
        <w:ind w:left="383" w:right="190" w:hanging="248"/>
        <w:rPr>
          <w:rFonts w:ascii="微软雅黑" w:hAnsi="微软雅黑" w:eastAsia="微软雅黑" w:cs="微软雅黑"/>
        </w:rPr>
      </w:pPr>
      <w:r>
        <w:rPr>
          <w:color w:val="32373F"/>
          <w:spacing w:val="4"/>
        </w:rPr>
        <w:t xml:space="preserve">4. </w:t>
      </w:r>
      <w:r>
        <w:rPr>
          <w:rFonts w:ascii="微软雅黑" w:hAnsi="微软雅黑" w:eastAsia="微软雅黑" w:cs="微软雅黑"/>
          <w:color w:val="32373F"/>
          <w:spacing w:val="4"/>
        </w:rPr>
        <w:t>各链路拟合斜率随时间呈与温度剖面对应的周期性波动，</w:t>
      </w:r>
      <w:r>
        <w:rPr>
          <w:rFonts w:ascii="微软雅黑" w:hAnsi="微软雅黑" w:eastAsia="微软雅黑" w:cs="微软雅黑"/>
          <w:color w:val="32373F"/>
          <w:spacing w:val="3"/>
        </w:rPr>
        <w:t xml:space="preserve">高增益链路波动幅度约为 </w:t>
      </w:r>
      <w:r>
        <w:rPr>
          <w:color w:val="32373F"/>
          <w:spacing w:val="3"/>
        </w:rPr>
        <w:t xml:space="preserve">±4–8 </w:t>
      </w:r>
      <w:r>
        <w:rPr>
          <w:color w:val="32373F"/>
        </w:rPr>
        <w:t>ADC</w:t>
      </w:r>
      <w:r>
        <w:rPr>
          <w:color w:val="32373F"/>
          <w:spacing w:val="3"/>
        </w:rPr>
        <w:t>/</w:t>
      </w:r>
      <w:r>
        <w:rPr>
          <w:color w:val="32373F"/>
        </w:rPr>
        <w:t>mV</w:t>
      </w:r>
      <w:r>
        <w:rPr>
          <w:rFonts w:ascii="微软雅黑" w:hAnsi="微软雅黑" w:eastAsia="微软雅黑" w:cs="微软雅黑"/>
          <w:color w:val="32373F"/>
          <w:spacing w:val="3"/>
        </w:rPr>
        <w:t xml:space="preserve">，低增益链路约为 </w:t>
      </w:r>
      <w:r>
        <w:rPr>
          <w:color w:val="32373F"/>
          <w:spacing w:val="3"/>
        </w:rPr>
        <w:t xml:space="preserve">±0.5–1.0 </w:t>
      </w:r>
      <w:r>
        <w:rPr>
          <w:color w:val="32373F"/>
        </w:rPr>
        <w:t>ADC</w:t>
      </w:r>
      <w:r>
        <w:rPr>
          <w:color w:val="32373F"/>
          <w:spacing w:val="3"/>
        </w:rPr>
        <w:t>/</w:t>
      </w:r>
      <w:r>
        <w:rPr>
          <w:color w:val="32373F"/>
        </w:rPr>
        <w:t>mV</w:t>
      </w:r>
      <w:r>
        <w:rPr>
          <w:rFonts w:ascii="微软雅黑" w:hAnsi="微软雅黑" w:eastAsia="微软雅黑" w:cs="微软雅黑"/>
          <w:color w:val="32373F"/>
          <w:spacing w:val="3"/>
        </w:rPr>
        <w:t>，均具有良好的可重复性，无系统性单向漂移；</w:t>
      </w:r>
    </w:p>
    <w:p w14:paraId="4692CF3A">
      <w:pPr>
        <w:spacing w:line="235" w:lineRule="auto"/>
        <w:rPr>
          <w:rFonts w:ascii="微软雅黑" w:hAnsi="微软雅黑" w:eastAsia="微软雅黑" w:cs="微软雅黑"/>
        </w:rPr>
        <w:sectPr>
          <w:pgSz w:w="11919" w:h="16858"/>
          <w:pgMar w:top="400" w:right="783" w:bottom="0" w:left="785" w:header="0" w:footer="0" w:gutter="0"/>
          <w:cols w:space="720" w:num="1"/>
        </w:sectPr>
      </w:pPr>
    </w:p>
    <w:p w14:paraId="4BDD33D8">
      <w:pPr>
        <w:pStyle w:val="2"/>
        <w:spacing w:before="179" w:line="242" w:lineRule="auto"/>
        <w:ind w:left="384" w:right="154" w:hanging="243"/>
        <w:rPr>
          <w:rFonts w:ascii="微软雅黑" w:hAnsi="微软雅黑" w:eastAsia="微软雅黑" w:cs="微软雅黑"/>
        </w:rPr>
      </w:pPr>
      <w:r>
        <w:rPr>
          <w:color w:val="32373F"/>
          <w:spacing w:val="4"/>
        </w:rPr>
        <w:t xml:space="preserve">5. </w:t>
      </w:r>
      <w:r>
        <w:rPr>
          <w:rFonts w:ascii="微软雅黑" w:hAnsi="微软雅黑" w:eastAsia="微软雅黑" w:cs="微软雅黑"/>
          <w:color w:val="32373F"/>
          <w:spacing w:val="4"/>
        </w:rPr>
        <w:t xml:space="preserve">主份与备份两端对应增益档位的拟合斜率及时间稳定性高度匹配，主备份增益一致性良好；全部 </w:t>
      </w:r>
      <w:r>
        <w:rPr>
          <w:color w:val="32373F"/>
          <w:spacing w:val="4"/>
        </w:rPr>
        <w:t>25</w:t>
      </w:r>
      <w:r>
        <w:rPr>
          <w:rFonts w:ascii="微软雅黑" w:hAnsi="微软雅黑" w:eastAsia="微软雅黑" w:cs="微软雅黑"/>
          <w:color w:val="32373F"/>
          <w:spacing w:val="5"/>
        </w:rPr>
        <w:t xml:space="preserve">个晶体通道在四组链路中均未发现增益异常或线性度劣化现象，热真空环境下 </w:t>
      </w:r>
      <w:r>
        <w:rPr>
          <w:color w:val="32373F"/>
        </w:rPr>
        <w:t>Calo</w:t>
      </w:r>
      <w:r>
        <w:rPr>
          <w:color w:val="32373F"/>
          <w:spacing w:val="5"/>
        </w:rPr>
        <w:t xml:space="preserve"> </w:t>
      </w:r>
      <w:r>
        <w:rPr>
          <w:rFonts w:ascii="微软雅黑" w:hAnsi="微软雅黑" w:eastAsia="微软雅黑" w:cs="微软雅黑"/>
          <w:color w:val="32373F"/>
          <w:spacing w:val="5"/>
        </w:rPr>
        <w:t>的电</w:t>
      </w:r>
      <w:r>
        <w:rPr>
          <w:rFonts w:ascii="微软雅黑" w:hAnsi="微软雅黑" w:eastAsia="微软雅黑" w:cs="微软雅黑"/>
          <w:color w:val="32373F"/>
          <w:spacing w:val="4"/>
        </w:rPr>
        <w:t>子学刻度特</w:t>
      </w:r>
      <w:r>
        <w:rPr>
          <w:rFonts w:ascii="微软雅黑" w:hAnsi="微软雅黑" w:eastAsia="微软雅黑" w:cs="微软雅黑"/>
          <w:color w:val="32373F"/>
          <w:spacing w:val="-3"/>
        </w:rPr>
        <w:t>性稳定可靠。</w:t>
      </w:r>
    </w:p>
    <w:p w14:paraId="067C0EDB">
      <w:pPr>
        <w:spacing w:before="143" w:line="30" w:lineRule="exact"/>
      </w:pPr>
      <w:r>
        <w:drawing>
          <wp:inline distT="0" distB="0" distL="0" distR="0">
            <wp:extent cx="6572250" cy="190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
                    <a:stretch>
                      <a:fillRect/>
                    </a:stretch>
                  </pic:blipFill>
                  <pic:spPr>
                    <a:xfrm>
                      <a:off x="0" y="0"/>
                      <a:ext cx="6572250" cy="19050"/>
                    </a:xfrm>
                    <a:prstGeom prst="rect">
                      <a:avLst/>
                    </a:prstGeom>
                  </pic:spPr>
                </pic:pic>
              </a:graphicData>
            </a:graphic>
          </wp:inline>
        </w:drawing>
      </w:r>
    </w:p>
    <w:p w14:paraId="60DC4159">
      <w:pPr>
        <w:pStyle w:val="2"/>
        <w:spacing w:before="210" w:line="187" w:lineRule="auto"/>
        <w:ind w:left="10"/>
        <w:outlineLvl w:val="2"/>
        <w:rPr>
          <w:rFonts w:ascii="微软雅黑" w:hAnsi="微软雅黑" w:eastAsia="微软雅黑" w:cs="微软雅黑"/>
          <w:sz w:val="24"/>
          <w:szCs w:val="24"/>
        </w:rPr>
      </w:pPr>
      <w:r>
        <w:rPr>
          <w:b/>
          <w:bCs/>
          <w:color w:val="32373F"/>
          <w:spacing w:val="3"/>
          <w:sz w:val="24"/>
          <w:szCs w:val="24"/>
        </w:rPr>
        <w:t xml:space="preserve">5.3 </w:t>
      </w:r>
      <w:r>
        <w:rPr>
          <w:rFonts w:ascii="微软雅黑" w:hAnsi="微软雅黑" w:eastAsia="微软雅黑" w:cs="微软雅黑"/>
          <w:b/>
          <w:bCs/>
          <w:color w:val="32373F"/>
          <w:spacing w:val="3"/>
          <w:sz w:val="24"/>
          <w:szCs w:val="24"/>
        </w:rPr>
        <w:t>宇宙线</w:t>
      </w:r>
      <w:r>
        <w:rPr>
          <w:rFonts w:ascii="微软雅黑" w:hAnsi="微软雅黑" w:eastAsia="微软雅黑" w:cs="微软雅黑"/>
          <w:b/>
          <w:bCs/>
          <w:color w:val="32373F"/>
          <w:spacing w:val="25"/>
          <w:sz w:val="24"/>
          <w:szCs w:val="24"/>
        </w:rPr>
        <w:t xml:space="preserve"> </w:t>
      </w:r>
      <w:r>
        <w:rPr>
          <w:b/>
          <w:bCs/>
          <w:color w:val="32373F"/>
          <w:sz w:val="24"/>
          <w:szCs w:val="24"/>
        </w:rPr>
        <w:t>MIP</w:t>
      </w:r>
      <w:r>
        <w:rPr>
          <w:b/>
          <w:bCs/>
          <w:color w:val="32373F"/>
          <w:spacing w:val="3"/>
          <w:sz w:val="24"/>
          <w:szCs w:val="24"/>
        </w:rPr>
        <w:t xml:space="preserve"> </w:t>
      </w:r>
      <w:r>
        <w:rPr>
          <w:rFonts w:ascii="微软雅黑" w:hAnsi="微软雅黑" w:eastAsia="微软雅黑" w:cs="微软雅黑"/>
          <w:b/>
          <w:bCs/>
          <w:color w:val="32373F"/>
          <w:spacing w:val="3"/>
          <w:sz w:val="24"/>
          <w:szCs w:val="24"/>
        </w:rPr>
        <w:t>数据监测</w:t>
      </w:r>
    </w:p>
    <w:p w14:paraId="5086B884">
      <w:pPr>
        <w:pStyle w:val="2"/>
        <w:spacing w:before="206" w:line="228" w:lineRule="auto"/>
        <w:ind w:left="1" w:right="50" w:firstLine="3"/>
        <w:jc w:val="both"/>
        <w:rPr>
          <w:rFonts w:ascii="微软雅黑" w:hAnsi="微软雅黑" w:eastAsia="微软雅黑" w:cs="微软雅黑"/>
        </w:rPr>
      </w:pPr>
      <w:r>
        <w:rPr>
          <w:rFonts w:ascii="微软雅黑" w:hAnsi="微软雅黑" w:eastAsia="微软雅黑" w:cs="微软雅黑"/>
          <w:color w:val="32373F"/>
          <w:spacing w:val="5"/>
        </w:rPr>
        <w:t>宇宙线最小电离粒子（</w:t>
      </w:r>
      <w:r>
        <w:rPr>
          <w:color w:val="32373F"/>
        </w:rPr>
        <w:t>MIP</w:t>
      </w:r>
      <w:r>
        <w:rPr>
          <w:rFonts w:ascii="微软雅黑" w:hAnsi="微软雅黑" w:eastAsia="微软雅黑" w:cs="微软雅黑"/>
          <w:color w:val="32373F"/>
          <w:spacing w:val="5"/>
        </w:rPr>
        <w:t>）数据可用于综合评估晶体单元及读出链路在热真空实验过程中的物理响应稳定性。与单纯的电子学基线（</w:t>
      </w:r>
      <w:r>
        <w:rPr>
          <w:color w:val="32373F"/>
        </w:rPr>
        <w:t>pedestal</w:t>
      </w:r>
      <w:r>
        <w:rPr>
          <w:rFonts w:ascii="微软雅黑" w:hAnsi="微软雅黑" w:eastAsia="微软雅黑" w:cs="微软雅黑"/>
          <w:color w:val="32373F"/>
          <w:spacing w:val="5"/>
        </w:rPr>
        <w:t>）和高低增益比（</w:t>
      </w:r>
      <w:r>
        <w:rPr>
          <w:color w:val="32373F"/>
        </w:rPr>
        <w:t>HLRatio</w:t>
      </w:r>
      <w:r>
        <w:rPr>
          <w:rFonts w:ascii="微软雅黑" w:hAnsi="微软雅黑" w:eastAsia="微软雅黑" w:cs="微软雅黑"/>
          <w:color w:val="32373F"/>
          <w:spacing w:val="5"/>
        </w:rPr>
        <w:t>）参数相</w:t>
      </w:r>
      <w:r>
        <w:rPr>
          <w:rFonts w:ascii="微软雅黑" w:hAnsi="微软雅黑" w:eastAsia="微软雅黑" w:cs="微软雅黑"/>
          <w:color w:val="32373F"/>
          <w:spacing w:val="4"/>
        </w:rPr>
        <w:t>比，</w:t>
      </w:r>
      <w:r>
        <w:rPr>
          <w:rFonts w:ascii="微软雅黑" w:hAnsi="微软雅黑" w:eastAsia="微软雅黑" w:cs="微软雅黑"/>
          <w:color w:val="32373F"/>
          <w:spacing w:val="-18"/>
        </w:rPr>
        <w:t xml:space="preserve"> </w:t>
      </w:r>
      <w:r>
        <w:rPr>
          <w:color w:val="32373F"/>
        </w:rPr>
        <w:t>MIP</w:t>
      </w:r>
      <w:r>
        <w:rPr>
          <w:color w:val="32373F"/>
          <w:spacing w:val="4"/>
        </w:rPr>
        <w:t xml:space="preserve"> </w:t>
      </w:r>
      <w:r>
        <w:rPr>
          <w:rFonts w:ascii="微软雅黑" w:hAnsi="微软雅黑" w:eastAsia="微软雅黑" w:cs="微软雅黑"/>
          <w:color w:val="32373F"/>
          <w:spacing w:val="4"/>
        </w:rPr>
        <w:t xml:space="preserve">信号能够同时反映晶体发光效率、光电转换效率、 </w:t>
      </w:r>
      <w:r>
        <w:rPr>
          <w:color w:val="32373F"/>
        </w:rPr>
        <w:t>APD</w:t>
      </w:r>
      <w:r>
        <w:rPr>
          <w:color w:val="32373F"/>
          <w:spacing w:val="4"/>
        </w:rPr>
        <w:t xml:space="preserve"> </w:t>
      </w:r>
      <w:r>
        <w:rPr>
          <w:rFonts w:ascii="微软雅黑" w:hAnsi="微软雅黑" w:eastAsia="微软雅黑" w:cs="微软雅黑"/>
          <w:color w:val="32373F"/>
          <w:spacing w:val="4"/>
        </w:rPr>
        <w:t>增益、前端电子学</w:t>
      </w:r>
      <w:r>
        <w:rPr>
          <w:rFonts w:ascii="微软雅黑" w:hAnsi="微软雅黑" w:eastAsia="微软雅黑" w:cs="微软雅黑"/>
          <w:color w:val="32373F"/>
          <w:spacing w:val="3"/>
        </w:rPr>
        <w:t>读出特性以及系统整体响应的综合变化，是表征探</w:t>
      </w:r>
      <w:r>
        <w:rPr>
          <w:rFonts w:ascii="微软雅黑" w:hAnsi="微软雅黑" w:eastAsia="微软雅黑" w:cs="微软雅黑"/>
          <w:color w:val="32373F"/>
          <w:spacing w:val="2"/>
        </w:rPr>
        <w:t>测器物理性能稳定性的综合性指标。</w:t>
      </w:r>
    </w:p>
    <w:p w14:paraId="1FC0C1CC">
      <w:pPr>
        <w:pStyle w:val="2"/>
        <w:spacing w:before="277" w:line="239" w:lineRule="auto"/>
        <w:ind w:left="12" w:right="154" w:hanging="5"/>
        <w:rPr>
          <w:rFonts w:ascii="微软雅黑" w:hAnsi="微软雅黑" w:eastAsia="微软雅黑" w:cs="微软雅黑"/>
        </w:rPr>
      </w:pPr>
      <w:r>
        <w:rPr>
          <w:rFonts w:ascii="微软雅黑" w:hAnsi="微软雅黑" w:eastAsia="微软雅黑" w:cs="微软雅黑"/>
          <w:color w:val="32373F"/>
          <w:spacing w:val="5"/>
        </w:rPr>
        <w:t>为确保分析质量，本实验对宇宙线数据进行了严格筛选，优先选取单晶体击中事件（</w:t>
      </w:r>
      <w:r>
        <w:rPr>
          <w:color w:val="32373F"/>
        </w:rPr>
        <w:t>single</w:t>
      </w:r>
      <w:r>
        <w:rPr>
          <w:color w:val="32373F"/>
          <w:spacing w:val="5"/>
        </w:rPr>
        <w:t>-</w:t>
      </w:r>
      <w:r>
        <w:rPr>
          <w:color w:val="32373F"/>
        </w:rPr>
        <w:t>hit</w:t>
      </w:r>
      <w:r>
        <w:rPr>
          <w:color w:val="32373F"/>
          <w:spacing w:val="5"/>
        </w:rPr>
        <w:t xml:space="preserve"> </w:t>
      </w:r>
      <w:r>
        <w:rPr>
          <w:color w:val="32373F"/>
        </w:rPr>
        <w:t>cosmic</w:t>
      </w:r>
      <w:r>
        <w:rPr>
          <w:color w:val="32373F"/>
          <w:spacing w:val="4"/>
        </w:rPr>
        <w:t xml:space="preserve">   </w:t>
      </w:r>
      <w:r>
        <w:rPr>
          <w:color w:val="32373F"/>
        </w:rPr>
        <w:t>ray</w:t>
      </w:r>
      <w:r>
        <w:rPr>
          <w:color w:val="32373F"/>
          <w:spacing w:val="5"/>
        </w:rPr>
        <w:t xml:space="preserve"> </w:t>
      </w:r>
      <w:r>
        <w:rPr>
          <w:color w:val="32373F"/>
        </w:rPr>
        <w:t>event</w:t>
      </w:r>
      <w:r>
        <w:rPr>
          <w:rFonts w:ascii="微软雅黑" w:hAnsi="微软雅黑" w:eastAsia="微软雅黑" w:cs="微软雅黑"/>
          <w:color w:val="32373F"/>
          <w:spacing w:val="5"/>
        </w:rPr>
        <w:t>）开展分析，即在一次触发中仅有一个晶体单元记录到有效信号的事件。相较于多晶体联合击中事件，单晶体击中事件的能量沉积更为集中，信号形</w:t>
      </w:r>
      <w:r>
        <w:rPr>
          <w:rFonts w:ascii="微软雅黑" w:hAnsi="微软雅黑" w:eastAsia="微软雅黑" w:cs="微软雅黑"/>
          <w:color w:val="32373F"/>
          <w:spacing w:val="4"/>
        </w:rPr>
        <w:t xml:space="preserve">态更接近理想的 </w:t>
      </w:r>
      <w:r>
        <w:rPr>
          <w:color w:val="32373F"/>
        </w:rPr>
        <w:t>MIP</w:t>
      </w:r>
      <w:r>
        <w:rPr>
          <w:color w:val="32373F"/>
          <w:spacing w:val="4"/>
        </w:rPr>
        <w:t xml:space="preserve"> </w:t>
      </w:r>
      <w:r>
        <w:rPr>
          <w:rFonts w:ascii="微软雅黑" w:hAnsi="微软雅黑" w:eastAsia="微软雅黑" w:cs="微软雅黑"/>
          <w:color w:val="32373F"/>
          <w:spacing w:val="4"/>
        </w:rPr>
        <w:t>响应，有效抑制了斜入射宇</w:t>
      </w:r>
      <w:r>
        <w:rPr>
          <w:rFonts w:ascii="微软雅黑" w:hAnsi="微软雅黑" w:eastAsia="微软雅黑" w:cs="微软雅黑"/>
          <w:color w:val="32373F"/>
          <w:spacing w:val="3"/>
        </w:rPr>
        <w:t xml:space="preserve">宙线及电磁簇射事件对单通道响应分析的干扰，更适用于 </w:t>
      </w:r>
      <w:r>
        <w:rPr>
          <w:color w:val="32373F"/>
        </w:rPr>
        <w:t>MIP</w:t>
      </w:r>
      <w:r>
        <w:rPr>
          <w:color w:val="32373F"/>
          <w:spacing w:val="3"/>
        </w:rPr>
        <w:t xml:space="preserve"> </w:t>
      </w:r>
      <w:r>
        <w:rPr>
          <w:rFonts w:ascii="微软雅黑" w:hAnsi="微软雅黑" w:eastAsia="微软雅黑" w:cs="微软雅黑"/>
          <w:color w:val="32373F"/>
          <w:spacing w:val="3"/>
        </w:rPr>
        <w:t>峰位提取和通道稳定性监测。</w:t>
      </w:r>
    </w:p>
    <w:p w14:paraId="7C6EAF51">
      <w:pPr>
        <w:pStyle w:val="2"/>
        <w:spacing w:before="238" w:line="242" w:lineRule="auto"/>
        <w:ind w:left="3" w:right="126"/>
        <w:rPr>
          <w:rFonts w:ascii="微软雅黑" w:hAnsi="微软雅黑" w:eastAsia="微软雅黑" w:cs="微软雅黑"/>
        </w:rPr>
      </w:pPr>
      <w:r>
        <w:rPr>
          <w:rFonts w:ascii="微软雅黑" w:hAnsi="微软雅黑" w:eastAsia="微软雅黑" w:cs="微软雅黑"/>
          <w:color w:val="32373F"/>
          <w:spacing w:val="6"/>
        </w:rPr>
        <w:t>本实验对</w:t>
      </w:r>
      <w:r>
        <w:rPr>
          <w:rFonts w:ascii="微软雅黑" w:hAnsi="微软雅黑" w:eastAsia="微软雅黑" w:cs="微软雅黑"/>
          <w:b/>
          <w:bCs/>
          <w:color w:val="32373F"/>
          <w:spacing w:val="6"/>
        </w:rPr>
        <w:t>主份高增益</w:t>
      </w:r>
      <w:r>
        <w:rPr>
          <w:rFonts w:ascii="微软雅黑" w:hAnsi="微软雅黑" w:eastAsia="微软雅黑" w:cs="微软雅黑"/>
          <w:color w:val="32373F"/>
          <w:spacing w:val="6"/>
        </w:rPr>
        <w:t>（</w:t>
      </w:r>
      <w:r>
        <w:rPr>
          <w:rFonts w:ascii="微软雅黑" w:hAnsi="微软雅黑" w:eastAsia="微软雅黑" w:cs="微软雅黑"/>
          <w:color w:val="32373F"/>
          <w:spacing w:val="6"/>
          <w:shd w:val="clear" w:fill="F3F3F3"/>
        </w:rPr>
        <w:t xml:space="preserve"> </w:t>
      </w:r>
      <w:r>
        <w:rPr>
          <w:rFonts w:ascii="新宋体" w:hAnsi="新宋体" w:eastAsia="新宋体" w:cs="新宋体"/>
          <w:sz w:val="20"/>
          <w:szCs w:val="20"/>
          <w:shd w:val="clear" w:fill="F3F3F3"/>
        </w:rPr>
        <w:t>main</w:t>
      </w:r>
      <w:r>
        <w:rPr>
          <w:rFonts w:ascii="新宋体" w:hAnsi="新宋体" w:eastAsia="新宋体" w:cs="新宋体"/>
          <w:spacing w:val="6"/>
          <w:sz w:val="20"/>
          <w:szCs w:val="20"/>
          <w:shd w:val="clear" w:fill="F3F3F3"/>
        </w:rPr>
        <w:t xml:space="preserve"> </w:t>
      </w:r>
      <w:r>
        <w:rPr>
          <w:rFonts w:ascii="新宋体" w:hAnsi="新宋体" w:eastAsia="新宋体" w:cs="新宋体"/>
          <w:sz w:val="20"/>
          <w:szCs w:val="20"/>
          <w:shd w:val="clear" w:fill="F3F3F3"/>
        </w:rPr>
        <w:t>high</w:t>
      </w:r>
      <w:r>
        <w:rPr>
          <w:rFonts w:ascii="新宋体" w:hAnsi="新宋体" w:eastAsia="新宋体" w:cs="新宋体"/>
          <w:spacing w:val="6"/>
          <w:sz w:val="20"/>
          <w:szCs w:val="20"/>
          <w:shd w:val="clear" w:fill="F3F3F3"/>
        </w:rPr>
        <w:t xml:space="preserve"> </w:t>
      </w:r>
      <w:r>
        <w:rPr>
          <w:rFonts w:ascii="新宋体" w:hAnsi="新宋体" w:eastAsia="新宋体" w:cs="新宋体"/>
          <w:sz w:val="20"/>
          <w:szCs w:val="20"/>
          <w:shd w:val="clear" w:fill="F3F3F3"/>
        </w:rPr>
        <w:t>ADC</w:t>
      </w:r>
      <w:r>
        <w:rPr>
          <w:rFonts w:ascii="新宋体" w:hAnsi="新宋体" w:eastAsia="新宋体" w:cs="新宋体"/>
          <w:spacing w:val="-17"/>
          <w:sz w:val="20"/>
          <w:szCs w:val="20"/>
          <w:shd w:val="clear" w:fill="F3F3F3"/>
        </w:rPr>
        <w:t xml:space="preserve"> </w:t>
      </w:r>
      <w:r>
        <w:rPr>
          <w:rFonts w:ascii="微软雅黑" w:hAnsi="微软雅黑" w:eastAsia="微软雅黑" w:cs="微软雅黑"/>
          <w:color w:val="32373F"/>
          <w:spacing w:val="6"/>
        </w:rPr>
        <w:t>）和</w:t>
      </w:r>
      <w:r>
        <w:rPr>
          <w:rFonts w:ascii="微软雅黑" w:hAnsi="微软雅黑" w:eastAsia="微软雅黑" w:cs="微软雅黑"/>
          <w:b/>
          <w:bCs/>
          <w:color w:val="32373F"/>
          <w:spacing w:val="6"/>
        </w:rPr>
        <w:t>备份高增益</w:t>
      </w:r>
      <w:r>
        <w:rPr>
          <w:rFonts w:ascii="微软雅黑" w:hAnsi="微软雅黑" w:eastAsia="微软雅黑" w:cs="微软雅黑"/>
          <w:color w:val="32373F"/>
          <w:spacing w:val="6"/>
        </w:rPr>
        <w:t>（</w:t>
      </w:r>
      <w:r>
        <w:rPr>
          <w:rFonts w:ascii="微软雅黑" w:hAnsi="微软雅黑" w:eastAsia="微软雅黑" w:cs="微软雅黑"/>
          <w:color w:val="32373F"/>
          <w:spacing w:val="6"/>
          <w:shd w:val="clear" w:fill="F3F3F3"/>
        </w:rPr>
        <w:t xml:space="preserve"> </w:t>
      </w:r>
      <w:r>
        <w:rPr>
          <w:rFonts w:ascii="新宋体" w:hAnsi="新宋体" w:eastAsia="新宋体" w:cs="新宋体"/>
          <w:sz w:val="20"/>
          <w:szCs w:val="20"/>
          <w:shd w:val="clear" w:fill="F3F3F3"/>
        </w:rPr>
        <w:t>backup</w:t>
      </w:r>
      <w:r>
        <w:rPr>
          <w:rFonts w:ascii="新宋体" w:hAnsi="新宋体" w:eastAsia="新宋体" w:cs="新宋体"/>
          <w:spacing w:val="6"/>
          <w:sz w:val="20"/>
          <w:szCs w:val="20"/>
          <w:shd w:val="clear" w:fill="F3F3F3"/>
        </w:rPr>
        <w:t xml:space="preserve"> </w:t>
      </w:r>
      <w:r>
        <w:rPr>
          <w:rFonts w:ascii="新宋体" w:hAnsi="新宋体" w:eastAsia="新宋体" w:cs="新宋体"/>
          <w:sz w:val="20"/>
          <w:szCs w:val="20"/>
          <w:shd w:val="clear" w:fill="F3F3F3"/>
        </w:rPr>
        <w:t>high</w:t>
      </w:r>
      <w:r>
        <w:rPr>
          <w:rFonts w:ascii="新宋体" w:hAnsi="新宋体" w:eastAsia="新宋体" w:cs="新宋体"/>
          <w:spacing w:val="6"/>
          <w:sz w:val="20"/>
          <w:szCs w:val="20"/>
          <w:shd w:val="clear" w:fill="F3F3F3"/>
        </w:rPr>
        <w:t xml:space="preserve"> </w:t>
      </w:r>
      <w:r>
        <w:rPr>
          <w:rFonts w:ascii="新宋体" w:hAnsi="新宋体" w:eastAsia="新宋体" w:cs="新宋体"/>
          <w:sz w:val="20"/>
          <w:szCs w:val="20"/>
          <w:shd w:val="clear" w:fill="F3F3F3"/>
        </w:rPr>
        <w:t>ADC</w:t>
      </w:r>
      <w:r>
        <w:rPr>
          <w:rFonts w:ascii="新宋体" w:hAnsi="新宋体" w:eastAsia="新宋体" w:cs="新宋体"/>
          <w:spacing w:val="-21"/>
          <w:sz w:val="20"/>
          <w:szCs w:val="20"/>
          <w:shd w:val="clear" w:fill="F3F3F3"/>
        </w:rPr>
        <w:t xml:space="preserve"> </w:t>
      </w:r>
      <w:r>
        <w:rPr>
          <w:rFonts w:ascii="微软雅黑" w:hAnsi="微软雅黑" w:eastAsia="微软雅黑" w:cs="微软雅黑"/>
          <w:color w:val="32373F"/>
          <w:spacing w:val="6"/>
        </w:rPr>
        <w:t xml:space="preserve">）两组读出链路的宇宙线 </w:t>
      </w:r>
      <w:r>
        <w:rPr>
          <w:color w:val="32373F"/>
        </w:rPr>
        <w:t>ADC</w:t>
      </w:r>
      <w:r>
        <w:rPr>
          <w:rFonts w:ascii="微软雅黑" w:hAnsi="微软雅黑" w:eastAsia="微软雅黑" w:cs="微软雅黑"/>
          <w:color w:val="32373F"/>
          <w:spacing w:val="4"/>
        </w:rPr>
        <w:t>谱进行统计分析。低增益链路因放大倍数约为高增益的十分之一</w:t>
      </w:r>
      <w:r>
        <w:rPr>
          <w:rFonts w:ascii="微软雅黑" w:hAnsi="微软雅黑" w:eastAsia="微软雅黑" w:cs="微软雅黑"/>
          <w:color w:val="32373F"/>
          <w:spacing w:val="-31"/>
        </w:rPr>
        <w:t xml:space="preserve"> </w:t>
      </w:r>
      <w:r>
        <w:rPr>
          <w:rFonts w:ascii="微软雅黑" w:hAnsi="微软雅黑" w:eastAsia="微软雅黑" w:cs="微软雅黑"/>
          <w:color w:val="32373F"/>
          <w:spacing w:val="4"/>
        </w:rPr>
        <w:t>，</w:t>
      </w:r>
      <w:r>
        <w:rPr>
          <w:rFonts w:ascii="微软雅黑" w:hAnsi="微软雅黑" w:eastAsia="微软雅黑" w:cs="微软雅黑"/>
          <w:color w:val="32373F"/>
          <w:spacing w:val="-45"/>
        </w:rPr>
        <w:t xml:space="preserve"> </w:t>
      </w:r>
      <w:r>
        <w:rPr>
          <w:color w:val="32373F"/>
        </w:rPr>
        <w:t>MIP</w:t>
      </w:r>
      <w:r>
        <w:rPr>
          <w:color w:val="32373F"/>
          <w:spacing w:val="4"/>
        </w:rPr>
        <w:t xml:space="preserve"> </w:t>
      </w:r>
      <w:r>
        <w:rPr>
          <w:rFonts w:ascii="微软雅黑" w:hAnsi="微软雅黑" w:eastAsia="微软雅黑" w:cs="微软雅黑"/>
          <w:color w:val="32373F"/>
          <w:spacing w:val="3"/>
        </w:rPr>
        <w:t>信号幅度显著偏低，与台基噪声</w:t>
      </w:r>
    </w:p>
    <w:p w14:paraId="4933692B">
      <w:pPr>
        <w:spacing w:before="1" w:line="239" w:lineRule="auto"/>
        <w:ind w:left="2" w:hanging="1"/>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分离程度不足，多数通道难以可靠提取有效峰位，因此</w:t>
      </w:r>
      <w:r>
        <w:rPr>
          <w:rFonts w:ascii="微软雅黑" w:hAnsi="微软雅黑" w:eastAsia="微软雅黑" w:cs="微软雅黑"/>
          <w:b/>
          <w:bCs/>
          <w:color w:val="32373F"/>
          <w:spacing w:val="5"/>
          <w:sz w:val="22"/>
          <w:szCs w:val="22"/>
        </w:rPr>
        <w:t>不纳入本节分析</w:t>
      </w:r>
      <w:r>
        <w:rPr>
          <w:rFonts w:ascii="微软雅黑" w:hAnsi="微软雅黑" w:eastAsia="微软雅黑" w:cs="微软雅黑"/>
          <w:color w:val="32373F"/>
          <w:spacing w:val="5"/>
          <w:sz w:val="22"/>
          <w:szCs w:val="22"/>
        </w:rPr>
        <w:t>，这一结论与热循环实验中</w:t>
      </w:r>
      <w:r>
        <w:rPr>
          <w:rFonts w:ascii="微软雅黑" w:hAnsi="微软雅黑" w:eastAsia="微软雅黑" w:cs="微软雅黑"/>
          <w:color w:val="32373F"/>
          <w:spacing w:val="4"/>
          <w:sz w:val="22"/>
          <w:szCs w:val="22"/>
        </w:rPr>
        <w:t>的相应</w:t>
      </w:r>
      <w:r>
        <w:rPr>
          <w:rFonts w:ascii="微软雅黑" w:hAnsi="微软雅黑" w:eastAsia="微软雅黑" w:cs="微软雅黑"/>
          <w:color w:val="32373F"/>
          <w:sz w:val="22"/>
          <w:szCs w:val="22"/>
        </w:rPr>
        <w:t>观测结果一致。</w:t>
      </w:r>
    </w:p>
    <w:p w14:paraId="38FC97FF">
      <w:pPr>
        <w:pStyle w:val="2"/>
        <w:spacing w:before="267" w:line="235" w:lineRule="auto"/>
        <w:ind w:left="11" w:right="99" w:hanging="9"/>
        <w:jc w:val="both"/>
        <w:rPr>
          <w:rFonts w:ascii="微软雅黑" w:hAnsi="微软雅黑" w:eastAsia="微软雅黑" w:cs="微软雅黑"/>
        </w:rPr>
      </w:pPr>
      <w:r>
        <w:rPr>
          <w:rFonts w:ascii="微软雅黑" w:hAnsi="微软雅黑" w:eastAsia="微软雅黑" w:cs="微软雅黑"/>
          <w:color w:val="32373F"/>
          <w:spacing w:val="5"/>
        </w:rPr>
        <w:t xml:space="preserve">通过比较高温保持阶段的 </w:t>
      </w:r>
      <w:r>
        <w:rPr>
          <w:color w:val="32373F"/>
        </w:rPr>
        <w:t>ADC</w:t>
      </w:r>
      <w:r>
        <w:rPr>
          <w:color w:val="32373F"/>
          <w:spacing w:val="5"/>
        </w:rPr>
        <w:t xml:space="preserve"> </w:t>
      </w:r>
      <w:r>
        <w:rPr>
          <w:rFonts w:ascii="微软雅黑" w:hAnsi="微软雅黑" w:eastAsia="微软雅黑" w:cs="微软雅黑"/>
          <w:color w:val="32373F"/>
          <w:spacing w:val="5"/>
        </w:rPr>
        <w:t>谱形及最可几能量损失峰位（</w:t>
      </w:r>
      <w:r>
        <w:rPr>
          <w:color w:val="32373F"/>
        </w:rPr>
        <w:t>MPV</w:t>
      </w:r>
      <w:r>
        <w:rPr>
          <w:rFonts w:ascii="微软雅黑" w:hAnsi="微软雅黑" w:eastAsia="微软雅黑" w:cs="微软雅黑"/>
          <w:color w:val="32373F"/>
          <w:spacing w:val="8"/>
        </w:rPr>
        <w:t>），</w:t>
      </w:r>
      <w:r>
        <w:rPr>
          <w:rFonts w:ascii="微软雅黑" w:hAnsi="微软雅黑" w:eastAsia="微软雅黑" w:cs="微软雅黑"/>
          <w:color w:val="32373F"/>
          <w:spacing w:val="5"/>
        </w:rPr>
        <w:t xml:space="preserve">并追踪热真空全程各通道 </w:t>
      </w:r>
      <w:r>
        <w:rPr>
          <w:color w:val="32373F"/>
        </w:rPr>
        <w:t>MPV</w:t>
      </w:r>
      <w:r>
        <w:rPr>
          <w:color w:val="32373F"/>
          <w:spacing w:val="5"/>
        </w:rPr>
        <w:t xml:space="preserve"> </w:t>
      </w:r>
      <w:r>
        <w:rPr>
          <w:rFonts w:ascii="微软雅黑" w:hAnsi="微软雅黑" w:eastAsia="微软雅黑" w:cs="微软雅黑"/>
          <w:color w:val="32373F"/>
          <w:spacing w:val="5"/>
        </w:rPr>
        <w:t xml:space="preserve">的时间演化，评判 </w:t>
      </w:r>
      <w:r>
        <w:rPr>
          <w:color w:val="32373F"/>
        </w:rPr>
        <w:t>MIP</w:t>
      </w:r>
      <w:r>
        <w:rPr>
          <w:color w:val="32373F"/>
          <w:spacing w:val="5"/>
        </w:rPr>
        <w:t xml:space="preserve"> </w:t>
      </w:r>
      <w:r>
        <w:rPr>
          <w:rFonts w:ascii="微软雅黑" w:hAnsi="微软雅黑" w:eastAsia="微软雅黑" w:cs="微软雅黑"/>
          <w:color w:val="32373F"/>
          <w:spacing w:val="5"/>
        </w:rPr>
        <w:t>响应是否随温度变化和真空环境引入</w:t>
      </w:r>
      <w:r>
        <w:rPr>
          <w:rFonts w:ascii="微软雅黑" w:hAnsi="微软雅黑" w:eastAsia="微软雅黑" w:cs="微软雅黑"/>
          <w:color w:val="32373F"/>
          <w:spacing w:val="4"/>
        </w:rPr>
        <w:t>发生系统性偏移，以及主备份两端读出链路之间是否存在响应一致性差异，从而对探测器在热真空条件下的</w:t>
      </w:r>
      <w:r>
        <w:rPr>
          <w:rFonts w:ascii="微软雅黑" w:hAnsi="微软雅黑" w:eastAsia="微软雅黑" w:cs="微软雅黑"/>
          <w:color w:val="32373F"/>
          <w:spacing w:val="3"/>
        </w:rPr>
        <w:t>整体物理性能稳定性作出综合判断。</w:t>
      </w:r>
    </w:p>
    <w:p w14:paraId="6F72CA95">
      <w:pPr>
        <w:pStyle w:val="2"/>
        <w:spacing w:before="256" w:line="187" w:lineRule="auto"/>
        <w:ind w:left="9"/>
        <w:outlineLvl w:val="3"/>
      </w:pPr>
      <w:r>
        <w:rPr>
          <w:b/>
          <w:bCs/>
          <w:color w:val="32373F"/>
          <w:spacing w:val="2"/>
        </w:rPr>
        <w:t xml:space="preserve">5.3.1 </w:t>
      </w:r>
      <w:r>
        <w:rPr>
          <w:rFonts w:ascii="微软雅黑" w:hAnsi="微软雅黑" w:eastAsia="微软雅黑" w:cs="微软雅黑"/>
          <w:b/>
          <w:bCs/>
          <w:color w:val="32373F"/>
          <w:spacing w:val="2"/>
        </w:rPr>
        <w:t xml:space="preserve">主份高增益 </w:t>
      </w:r>
      <w:r>
        <w:rPr>
          <w:b/>
          <w:bCs/>
          <w:color w:val="32373F"/>
        </w:rPr>
        <w:t>ADC</w:t>
      </w:r>
    </w:p>
    <w:p w14:paraId="47227C51">
      <w:pPr>
        <w:pStyle w:val="2"/>
        <w:spacing w:before="216" w:line="187" w:lineRule="auto"/>
        <w:ind w:left="4"/>
        <w:rPr>
          <w:rFonts w:ascii="微软雅黑" w:hAnsi="微软雅黑" w:eastAsia="微软雅黑" w:cs="微软雅黑"/>
        </w:rPr>
      </w:pPr>
      <w:r>
        <w:rPr>
          <w:rFonts w:ascii="微软雅黑" w:hAnsi="微软雅黑" w:eastAsia="微软雅黑" w:cs="微软雅黑"/>
          <w:b/>
          <w:bCs/>
          <w:color w:val="32373F"/>
          <w:spacing w:val="4"/>
        </w:rPr>
        <w:t xml:space="preserve">高温保持阶段 </w:t>
      </w:r>
      <w:r>
        <w:rPr>
          <w:b/>
          <w:bCs/>
          <w:color w:val="32373F"/>
        </w:rPr>
        <w:t>ADC</w:t>
      </w:r>
      <w:r>
        <w:rPr>
          <w:b/>
          <w:bCs/>
          <w:color w:val="32373F"/>
          <w:spacing w:val="4"/>
        </w:rPr>
        <w:t xml:space="preserve"> </w:t>
      </w:r>
      <w:r>
        <w:rPr>
          <w:rFonts w:ascii="微软雅黑" w:hAnsi="微软雅黑" w:eastAsia="微软雅黑" w:cs="微软雅黑"/>
          <w:b/>
          <w:bCs/>
          <w:color w:val="32373F"/>
          <w:spacing w:val="4"/>
        </w:rPr>
        <w:t>谱分布</w:t>
      </w:r>
    </w:p>
    <w:p w14:paraId="5E6BE1FC">
      <w:pPr>
        <w:spacing w:line="187" w:lineRule="auto"/>
        <w:rPr>
          <w:rFonts w:ascii="微软雅黑" w:hAnsi="微软雅黑" w:eastAsia="微软雅黑" w:cs="微软雅黑"/>
        </w:rPr>
        <w:sectPr>
          <w:pgSz w:w="11919" w:h="16858"/>
          <w:pgMar w:top="400" w:right="783" w:bottom="0" w:left="785" w:header="0" w:footer="0" w:gutter="0"/>
          <w:cols w:space="720" w:num="1"/>
        </w:sectPr>
      </w:pPr>
    </w:p>
    <w:p w14:paraId="1E562B00">
      <w:pPr>
        <w:spacing w:before="160" w:line="10184" w:lineRule="exact"/>
      </w:pPr>
      <w:r>
        <w:rPr>
          <w:position w:val="-203"/>
        </w:rPr>
        <w:drawing>
          <wp:inline distT="0" distB="0" distL="0" distR="0">
            <wp:extent cx="6572250" cy="64668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5"/>
                    <a:stretch>
                      <a:fillRect/>
                    </a:stretch>
                  </pic:blipFill>
                  <pic:spPr>
                    <a:xfrm>
                      <a:off x="0" y="0"/>
                      <a:ext cx="6572250" cy="6467467"/>
                    </a:xfrm>
                    <a:prstGeom prst="rect">
                      <a:avLst/>
                    </a:prstGeom>
                  </pic:spPr>
                </pic:pic>
              </a:graphicData>
            </a:graphic>
          </wp:inline>
        </w:drawing>
      </w:r>
    </w:p>
    <w:p w14:paraId="286602A6">
      <w:pPr>
        <w:pStyle w:val="2"/>
        <w:spacing w:before="320" w:line="239" w:lineRule="auto"/>
        <w:ind w:left="2" w:right="149" w:firstLine="1"/>
        <w:rPr>
          <w:rFonts w:ascii="微软雅黑" w:hAnsi="微软雅黑" w:eastAsia="微软雅黑" w:cs="微软雅黑"/>
        </w:rPr>
      </w:pPr>
      <w:r>
        <w:rPr>
          <w:rFonts w:ascii="微软雅黑" w:hAnsi="微软雅黑" w:eastAsia="微软雅黑" w:cs="微软雅黑"/>
          <w:color w:val="32373F"/>
          <w:spacing w:val="5"/>
        </w:rPr>
        <w:t xml:space="preserve">该图展示了高温保持阶段主份高增益读出链路 </w:t>
      </w:r>
      <w:r>
        <w:rPr>
          <w:color w:val="32373F"/>
          <w:spacing w:val="5"/>
        </w:rPr>
        <w:t xml:space="preserve">25 </w:t>
      </w:r>
      <w:r>
        <w:rPr>
          <w:rFonts w:ascii="微软雅黑" w:hAnsi="微软雅黑" w:eastAsia="微软雅黑" w:cs="微软雅黑"/>
          <w:color w:val="32373F"/>
          <w:spacing w:val="5"/>
        </w:rPr>
        <w:t>个晶</w:t>
      </w:r>
      <w:r>
        <w:rPr>
          <w:rFonts w:ascii="微软雅黑" w:hAnsi="微软雅黑" w:eastAsia="微软雅黑" w:cs="微软雅黑"/>
          <w:color w:val="32373F"/>
          <w:spacing w:val="4"/>
        </w:rPr>
        <w:t xml:space="preserve">体通道的宇宙线 </w:t>
      </w:r>
      <w:r>
        <w:rPr>
          <w:color w:val="32373F"/>
        </w:rPr>
        <w:t>ADC</w:t>
      </w:r>
      <w:r>
        <w:rPr>
          <w:color w:val="32373F"/>
          <w:spacing w:val="4"/>
        </w:rPr>
        <w:t xml:space="preserve"> </w:t>
      </w:r>
      <w:r>
        <w:rPr>
          <w:rFonts w:ascii="微软雅黑" w:hAnsi="微软雅黑" w:eastAsia="微软雅黑" w:cs="微软雅黑"/>
          <w:color w:val="32373F"/>
          <w:spacing w:val="4"/>
        </w:rPr>
        <w:t>谱分布，各通道采用朗道函</w:t>
      </w:r>
      <w:r>
        <w:rPr>
          <w:rFonts w:ascii="微软雅黑" w:hAnsi="微软雅黑" w:eastAsia="微软雅黑" w:cs="微软雅黑"/>
          <w:color w:val="32373F"/>
          <w:spacing w:val="3"/>
        </w:rPr>
        <w:t>数与高斯函数的卷积进行拟合，红色曲线为拟合结果。</w:t>
      </w:r>
    </w:p>
    <w:p w14:paraId="284CC0AB">
      <w:pPr>
        <w:spacing w:before="309"/>
        <w:ind w:left="4"/>
        <w:rPr>
          <w:rFonts w:ascii="微软雅黑" w:hAnsi="微软雅黑" w:eastAsia="微软雅黑" w:cs="微软雅黑"/>
          <w:sz w:val="22"/>
          <w:szCs w:val="22"/>
        </w:rPr>
      </w:pPr>
      <w:r>
        <w:rPr>
          <w:rFonts w:ascii="微软雅黑" w:hAnsi="微软雅黑" w:eastAsia="微软雅黑" w:cs="微软雅黑"/>
          <w:color w:val="32373F"/>
          <w:spacing w:val="5"/>
          <w:sz w:val="22"/>
          <w:szCs w:val="22"/>
        </w:rPr>
        <w:t>需要指出的是，本实验宇宙线筛选条件为单晶体击中事件，但未引入外部辅助径迹探测器对</w:t>
      </w:r>
      <w:r>
        <w:rPr>
          <w:rFonts w:ascii="微软雅黑" w:hAnsi="微软雅黑" w:eastAsia="微软雅黑" w:cs="微软雅黑"/>
          <w:color w:val="32373F"/>
          <w:spacing w:val="4"/>
          <w:sz w:val="22"/>
          <w:szCs w:val="22"/>
        </w:rPr>
        <w:t>入射方向加以</w:t>
      </w:r>
      <w:r>
        <w:rPr>
          <w:rFonts w:ascii="微软雅黑" w:hAnsi="微软雅黑" w:eastAsia="微软雅黑" w:cs="微软雅黑"/>
          <w:color w:val="32373F"/>
          <w:spacing w:val="-8"/>
          <w:sz w:val="22"/>
          <w:szCs w:val="22"/>
        </w:rPr>
        <w:t>约束。</w:t>
      </w:r>
    </w:p>
    <w:p w14:paraId="61ED3AA3">
      <w:pPr>
        <w:pStyle w:val="2"/>
        <w:spacing w:before="239" w:line="229" w:lineRule="auto"/>
        <w:ind w:left="2" w:right="228"/>
        <w:rPr>
          <w:rFonts w:ascii="微软雅黑" w:hAnsi="微软雅黑" w:eastAsia="微软雅黑" w:cs="微软雅黑"/>
        </w:rPr>
      </w:pPr>
      <w:r>
        <w:rPr>
          <w:rFonts w:ascii="微软雅黑" w:hAnsi="微软雅黑" w:eastAsia="微软雅黑" w:cs="微软雅黑"/>
          <w:color w:val="32373F"/>
          <w:spacing w:val="1"/>
        </w:rPr>
        <w:t xml:space="preserve">对于位于阵列边缘和角落的晶体（如第 </w:t>
      </w:r>
      <w:r>
        <w:rPr>
          <w:color w:val="32373F"/>
          <w:spacing w:val="1"/>
        </w:rPr>
        <w:t>0</w:t>
      </w:r>
      <w:r>
        <w:rPr>
          <w:rFonts w:ascii="微软雅黑" w:hAnsi="微软雅黑" w:eastAsia="微软雅黑" w:cs="微软雅黑"/>
          <w:color w:val="32373F"/>
          <w:spacing w:val="1"/>
        </w:rPr>
        <w:t>、</w:t>
      </w:r>
      <w:r>
        <w:rPr>
          <w:rFonts w:ascii="微软雅黑" w:hAnsi="微软雅黑" w:eastAsia="微软雅黑" w:cs="微软雅黑"/>
          <w:color w:val="32373F"/>
          <w:spacing w:val="-25"/>
        </w:rPr>
        <w:t xml:space="preserve"> </w:t>
      </w:r>
      <w:r>
        <w:rPr>
          <w:color w:val="32373F"/>
          <w:spacing w:val="1"/>
        </w:rPr>
        <w:t>1</w:t>
      </w:r>
      <w:r>
        <w:rPr>
          <w:rFonts w:ascii="微软雅黑" w:hAnsi="微软雅黑" w:eastAsia="微软雅黑" w:cs="微软雅黑"/>
          <w:color w:val="32373F"/>
          <w:spacing w:val="1"/>
        </w:rPr>
        <w:t>、</w:t>
      </w:r>
      <w:r>
        <w:rPr>
          <w:color w:val="32373F"/>
          <w:spacing w:val="1"/>
        </w:rPr>
        <w:t>3</w:t>
      </w:r>
      <w:r>
        <w:rPr>
          <w:rFonts w:ascii="微软雅黑" w:hAnsi="微软雅黑" w:eastAsia="微软雅黑" w:cs="微软雅黑"/>
          <w:color w:val="32373F"/>
          <w:spacing w:val="1"/>
        </w:rPr>
        <w:t>、</w:t>
      </w:r>
      <w:r>
        <w:rPr>
          <w:color w:val="32373F"/>
          <w:spacing w:val="1"/>
        </w:rPr>
        <w:t>4</w:t>
      </w:r>
      <w:r>
        <w:rPr>
          <w:rFonts w:ascii="微软雅黑" w:hAnsi="微软雅黑" w:eastAsia="微软雅黑" w:cs="微软雅黑"/>
          <w:color w:val="32373F"/>
          <w:spacing w:val="1"/>
        </w:rPr>
        <w:t>、</w:t>
      </w:r>
      <w:r>
        <w:rPr>
          <w:color w:val="32373F"/>
          <w:spacing w:val="1"/>
        </w:rPr>
        <w:t>5</w:t>
      </w:r>
      <w:r>
        <w:rPr>
          <w:rFonts w:ascii="微软雅黑" w:hAnsi="微软雅黑" w:eastAsia="微软雅黑" w:cs="微软雅黑"/>
          <w:color w:val="32373F"/>
          <w:spacing w:val="1"/>
        </w:rPr>
        <w:t>、</w:t>
      </w:r>
      <w:r>
        <w:rPr>
          <w:color w:val="32373F"/>
          <w:spacing w:val="1"/>
        </w:rPr>
        <w:t>9</w:t>
      </w:r>
      <w:r>
        <w:rPr>
          <w:rFonts w:ascii="微软雅黑" w:hAnsi="微软雅黑" w:eastAsia="微软雅黑" w:cs="微软雅黑"/>
          <w:color w:val="32373F"/>
          <w:spacing w:val="1"/>
        </w:rPr>
        <w:t>、</w:t>
      </w:r>
      <w:r>
        <w:rPr>
          <w:rFonts w:ascii="微软雅黑" w:hAnsi="微软雅黑" w:eastAsia="微软雅黑" w:cs="微软雅黑"/>
          <w:color w:val="32373F"/>
          <w:spacing w:val="-35"/>
        </w:rPr>
        <w:t xml:space="preserve"> </w:t>
      </w:r>
      <w:r>
        <w:rPr>
          <w:color w:val="32373F"/>
          <w:spacing w:val="1"/>
        </w:rPr>
        <w:t>10</w:t>
      </w:r>
      <w:r>
        <w:rPr>
          <w:rFonts w:ascii="微软雅黑" w:hAnsi="微软雅黑" w:eastAsia="微软雅黑" w:cs="微软雅黑"/>
          <w:color w:val="32373F"/>
          <w:spacing w:val="1"/>
        </w:rPr>
        <w:t>、</w:t>
      </w:r>
      <w:r>
        <w:rPr>
          <w:rFonts w:ascii="微软雅黑" w:hAnsi="微软雅黑" w:eastAsia="微软雅黑" w:cs="微软雅黑"/>
          <w:color w:val="32373F"/>
          <w:spacing w:val="-36"/>
        </w:rPr>
        <w:t xml:space="preserve"> </w:t>
      </w:r>
      <w:r>
        <w:rPr>
          <w:color w:val="32373F"/>
          <w:spacing w:val="1"/>
        </w:rPr>
        <w:t>14</w:t>
      </w:r>
      <w:r>
        <w:rPr>
          <w:rFonts w:ascii="微软雅黑" w:hAnsi="微软雅黑" w:eastAsia="微软雅黑" w:cs="微软雅黑"/>
          <w:color w:val="32373F"/>
          <w:spacing w:val="1"/>
        </w:rPr>
        <w:t>、</w:t>
      </w:r>
      <w:r>
        <w:rPr>
          <w:rFonts w:ascii="微软雅黑" w:hAnsi="微软雅黑" w:eastAsia="微软雅黑" w:cs="微软雅黑"/>
          <w:color w:val="32373F"/>
          <w:spacing w:val="-35"/>
        </w:rPr>
        <w:t xml:space="preserve"> </w:t>
      </w:r>
      <w:r>
        <w:rPr>
          <w:color w:val="32373F"/>
          <w:spacing w:val="1"/>
        </w:rPr>
        <w:t>15</w:t>
      </w:r>
      <w:r>
        <w:rPr>
          <w:rFonts w:ascii="微软雅黑" w:hAnsi="微软雅黑" w:eastAsia="微软雅黑" w:cs="微软雅黑"/>
          <w:color w:val="32373F"/>
          <w:spacing w:val="1"/>
        </w:rPr>
        <w:t>、</w:t>
      </w:r>
      <w:r>
        <w:rPr>
          <w:rFonts w:ascii="微软雅黑" w:hAnsi="微软雅黑" w:eastAsia="微软雅黑" w:cs="微软雅黑"/>
          <w:color w:val="32373F"/>
          <w:spacing w:val="-36"/>
        </w:rPr>
        <w:t xml:space="preserve"> </w:t>
      </w:r>
      <w:r>
        <w:rPr>
          <w:color w:val="32373F"/>
          <w:spacing w:val="1"/>
        </w:rPr>
        <w:t>19</w:t>
      </w:r>
      <w:r>
        <w:rPr>
          <w:rFonts w:ascii="微软雅黑" w:hAnsi="微软雅黑" w:eastAsia="微软雅黑" w:cs="微软雅黑"/>
          <w:color w:val="32373F"/>
          <w:spacing w:val="1"/>
        </w:rPr>
        <w:t>、</w:t>
      </w:r>
      <w:r>
        <w:rPr>
          <w:color w:val="32373F"/>
          <w:spacing w:val="1"/>
        </w:rPr>
        <w:t>20</w:t>
      </w:r>
      <w:r>
        <w:rPr>
          <w:rFonts w:ascii="微软雅黑" w:hAnsi="微软雅黑" w:eastAsia="微软雅黑" w:cs="微软雅黑"/>
          <w:color w:val="32373F"/>
          <w:spacing w:val="1"/>
        </w:rPr>
        <w:t>、</w:t>
      </w:r>
      <w:r>
        <w:rPr>
          <w:color w:val="32373F"/>
          <w:spacing w:val="1"/>
        </w:rPr>
        <w:t>21</w:t>
      </w:r>
      <w:r>
        <w:rPr>
          <w:rFonts w:ascii="微软雅黑" w:hAnsi="微软雅黑" w:eastAsia="微软雅黑" w:cs="微软雅黑"/>
          <w:color w:val="32373F"/>
          <w:spacing w:val="1"/>
        </w:rPr>
        <w:t>、</w:t>
      </w:r>
      <w:r>
        <w:rPr>
          <w:color w:val="32373F"/>
          <w:spacing w:val="1"/>
        </w:rPr>
        <w:t>22</w:t>
      </w:r>
      <w:r>
        <w:rPr>
          <w:rFonts w:ascii="微软雅黑" w:hAnsi="微软雅黑" w:eastAsia="微软雅黑" w:cs="微软雅黑"/>
          <w:color w:val="32373F"/>
          <w:spacing w:val="1"/>
        </w:rPr>
        <w:t>、</w:t>
      </w:r>
      <w:r>
        <w:rPr>
          <w:color w:val="32373F"/>
          <w:spacing w:val="1"/>
        </w:rPr>
        <w:t>23</w:t>
      </w:r>
      <w:r>
        <w:rPr>
          <w:rFonts w:ascii="微软雅黑" w:hAnsi="微软雅黑" w:eastAsia="微软雅黑" w:cs="微软雅黑"/>
          <w:color w:val="32373F"/>
          <w:spacing w:val="1"/>
        </w:rPr>
        <w:t>、</w:t>
      </w:r>
      <w:r>
        <w:rPr>
          <w:color w:val="32373F"/>
          <w:spacing w:val="1"/>
        </w:rPr>
        <w:t>24</w:t>
      </w:r>
      <w:r>
        <w:rPr>
          <w:rFonts w:ascii="微软雅黑" w:hAnsi="微软雅黑" w:eastAsia="微软雅黑" w:cs="微软雅黑"/>
          <w:color w:val="32373F"/>
          <w:spacing w:val="5"/>
        </w:rPr>
        <w:t xml:space="preserve">号），斜入射宇宙线比例较高，等效穿越厚度分布较宽，导致 </w:t>
      </w:r>
      <w:r>
        <w:rPr>
          <w:color w:val="32373F"/>
        </w:rPr>
        <w:t>MIP</w:t>
      </w:r>
      <w:r>
        <w:rPr>
          <w:color w:val="32373F"/>
          <w:spacing w:val="5"/>
        </w:rPr>
        <w:t xml:space="preserve"> </w:t>
      </w:r>
      <w:r>
        <w:rPr>
          <w:rFonts w:ascii="微软雅黑" w:hAnsi="微软雅黑" w:eastAsia="微软雅黑" w:cs="微软雅黑"/>
          <w:color w:val="32373F"/>
          <w:spacing w:val="5"/>
        </w:rPr>
        <w:t>峰形向</w:t>
      </w:r>
      <w:r>
        <w:rPr>
          <w:rFonts w:ascii="微软雅黑" w:hAnsi="微软雅黑" w:eastAsia="微软雅黑" w:cs="微软雅黑"/>
          <w:color w:val="32373F"/>
          <w:spacing w:val="4"/>
        </w:rPr>
        <w:t xml:space="preserve">低 </w:t>
      </w:r>
      <w:r>
        <w:rPr>
          <w:color w:val="32373F"/>
        </w:rPr>
        <w:t>ADC</w:t>
      </w:r>
      <w:r>
        <w:rPr>
          <w:color w:val="32373F"/>
          <w:spacing w:val="4"/>
        </w:rPr>
        <w:t xml:space="preserve"> </w:t>
      </w:r>
      <w:r>
        <w:rPr>
          <w:rFonts w:ascii="微软雅黑" w:hAnsi="微软雅黑" w:eastAsia="微软雅黑" w:cs="微软雅黑"/>
          <w:color w:val="32373F"/>
          <w:spacing w:val="4"/>
        </w:rPr>
        <w:t>端偏移、低能拖尾明</w:t>
      </w:r>
      <w:r>
        <w:rPr>
          <w:rFonts w:ascii="微软雅黑" w:hAnsi="微软雅黑" w:eastAsia="微软雅黑" w:cs="微软雅黑"/>
          <w:color w:val="32373F"/>
          <w:spacing w:val="2"/>
        </w:rPr>
        <w:t xml:space="preserve">显，朗道卷积拟合质量相对较差。因此，以下分析以阵列中心区域晶体（第 </w:t>
      </w:r>
      <w:r>
        <w:rPr>
          <w:color w:val="32373F"/>
          <w:spacing w:val="2"/>
        </w:rPr>
        <w:t>6</w:t>
      </w:r>
      <w:r>
        <w:rPr>
          <w:rFonts w:ascii="微软雅黑" w:hAnsi="微软雅黑" w:eastAsia="微软雅黑" w:cs="微软雅黑"/>
          <w:color w:val="32373F"/>
          <w:spacing w:val="2"/>
        </w:rPr>
        <w:t>、</w:t>
      </w:r>
      <w:r>
        <w:rPr>
          <w:color w:val="32373F"/>
          <w:spacing w:val="2"/>
        </w:rPr>
        <w:t>7</w:t>
      </w:r>
      <w:r>
        <w:rPr>
          <w:rFonts w:ascii="微软雅黑" w:hAnsi="微软雅黑" w:eastAsia="微软雅黑" w:cs="微软雅黑"/>
          <w:color w:val="32373F"/>
          <w:spacing w:val="2"/>
        </w:rPr>
        <w:t>、</w:t>
      </w:r>
      <w:r>
        <w:rPr>
          <w:color w:val="32373F"/>
          <w:spacing w:val="2"/>
        </w:rPr>
        <w:t>8</w:t>
      </w:r>
      <w:r>
        <w:rPr>
          <w:rFonts w:ascii="微软雅黑" w:hAnsi="微软雅黑" w:eastAsia="微软雅黑" w:cs="微软雅黑"/>
          <w:color w:val="32373F"/>
          <w:spacing w:val="2"/>
        </w:rPr>
        <w:t>、</w:t>
      </w:r>
      <w:r>
        <w:rPr>
          <w:rFonts w:ascii="微软雅黑" w:hAnsi="微软雅黑" w:eastAsia="微软雅黑" w:cs="微软雅黑"/>
          <w:color w:val="32373F"/>
          <w:spacing w:val="-32"/>
        </w:rPr>
        <w:t xml:space="preserve"> </w:t>
      </w:r>
      <w:r>
        <w:rPr>
          <w:color w:val="32373F"/>
          <w:spacing w:val="2"/>
        </w:rPr>
        <w:t>11</w:t>
      </w:r>
      <w:r>
        <w:rPr>
          <w:rFonts w:ascii="微软雅黑" w:hAnsi="微软雅黑" w:eastAsia="微软雅黑" w:cs="微软雅黑"/>
          <w:color w:val="32373F"/>
          <w:spacing w:val="2"/>
        </w:rPr>
        <w:t>、</w:t>
      </w:r>
      <w:r>
        <w:rPr>
          <w:rFonts w:ascii="微软雅黑" w:hAnsi="微软雅黑" w:eastAsia="微软雅黑" w:cs="微软雅黑"/>
          <w:color w:val="32373F"/>
          <w:spacing w:val="-35"/>
        </w:rPr>
        <w:t xml:space="preserve"> </w:t>
      </w:r>
      <w:r>
        <w:rPr>
          <w:color w:val="32373F"/>
          <w:spacing w:val="2"/>
        </w:rPr>
        <w:t>12</w:t>
      </w:r>
      <w:r>
        <w:rPr>
          <w:rFonts w:ascii="微软雅黑" w:hAnsi="微软雅黑" w:eastAsia="微软雅黑" w:cs="微软雅黑"/>
          <w:color w:val="32373F"/>
          <w:spacing w:val="2"/>
        </w:rPr>
        <w:t>、</w:t>
      </w:r>
      <w:r>
        <w:rPr>
          <w:rFonts w:ascii="微软雅黑" w:hAnsi="微软雅黑" w:eastAsia="微软雅黑" w:cs="微软雅黑"/>
          <w:color w:val="32373F"/>
          <w:spacing w:val="-36"/>
        </w:rPr>
        <w:t xml:space="preserve"> </w:t>
      </w:r>
      <w:r>
        <w:rPr>
          <w:color w:val="32373F"/>
          <w:spacing w:val="2"/>
        </w:rPr>
        <w:t>13</w:t>
      </w:r>
      <w:r>
        <w:rPr>
          <w:rFonts w:ascii="微软雅黑" w:hAnsi="微软雅黑" w:eastAsia="微软雅黑" w:cs="微软雅黑"/>
          <w:color w:val="32373F"/>
          <w:spacing w:val="2"/>
        </w:rPr>
        <w:t>、</w:t>
      </w:r>
    </w:p>
    <w:p w14:paraId="76E2BC3A">
      <w:pPr>
        <w:pStyle w:val="2"/>
        <w:spacing w:line="235" w:lineRule="auto"/>
        <w:ind w:left="24"/>
        <w:rPr>
          <w:rFonts w:ascii="微软雅黑" w:hAnsi="微软雅黑" w:eastAsia="微软雅黑" w:cs="微软雅黑"/>
        </w:rPr>
      </w:pPr>
      <w:r>
        <w:rPr>
          <w:color w:val="32373F"/>
          <w:spacing w:val="1"/>
        </w:rPr>
        <w:t>16</w:t>
      </w:r>
      <w:r>
        <w:rPr>
          <w:rFonts w:ascii="微软雅黑" w:hAnsi="微软雅黑" w:eastAsia="微软雅黑" w:cs="微软雅黑"/>
          <w:color w:val="32373F"/>
          <w:spacing w:val="1"/>
        </w:rPr>
        <w:t>、</w:t>
      </w:r>
      <w:r>
        <w:rPr>
          <w:rFonts w:ascii="微软雅黑" w:hAnsi="微软雅黑" w:eastAsia="微软雅黑" w:cs="微软雅黑"/>
          <w:color w:val="32373F"/>
          <w:spacing w:val="-31"/>
        </w:rPr>
        <w:t xml:space="preserve"> </w:t>
      </w:r>
      <w:r>
        <w:rPr>
          <w:color w:val="32373F"/>
          <w:spacing w:val="1"/>
        </w:rPr>
        <w:t>17</w:t>
      </w:r>
      <w:r>
        <w:rPr>
          <w:rFonts w:ascii="微软雅黑" w:hAnsi="微软雅黑" w:eastAsia="微软雅黑" w:cs="微软雅黑"/>
          <w:color w:val="32373F"/>
          <w:spacing w:val="1"/>
        </w:rPr>
        <w:t>、</w:t>
      </w:r>
      <w:r>
        <w:rPr>
          <w:rFonts w:ascii="微软雅黑" w:hAnsi="微软雅黑" w:eastAsia="微软雅黑" w:cs="微软雅黑"/>
          <w:color w:val="32373F"/>
          <w:spacing w:val="-36"/>
        </w:rPr>
        <w:t xml:space="preserve"> </w:t>
      </w:r>
      <w:r>
        <w:rPr>
          <w:color w:val="32373F"/>
          <w:spacing w:val="1"/>
        </w:rPr>
        <w:t xml:space="preserve">18 </w:t>
      </w:r>
      <w:r>
        <w:rPr>
          <w:rFonts w:ascii="微软雅黑" w:hAnsi="微软雅黑" w:eastAsia="微软雅黑" w:cs="微软雅黑"/>
          <w:color w:val="32373F"/>
          <w:spacing w:val="1"/>
        </w:rPr>
        <w:t>号）为主要评估对象，其宇宙线近似正入射，谱形质量更为可靠。</w:t>
      </w:r>
    </w:p>
    <w:p w14:paraId="7A3B1F1F">
      <w:pPr>
        <w:pStyle w:val="2"/>
        <w:spacing w:before="291" w:line="231" w:lineRule="auto"/>
        <w:ind w:left="1" w:firstLine="17"/>
        <w:jc w:val="both"/>
        <w:rPr>
          <w:rFonts w:ascii="微软雅黑" w:hAnsi="微软雅黑" w:eastAsia="微软雅黑" w:cs="微软雅黑"/>
        </w:rPr>
      </w:pPr>
      <w:r>
        <w:rPr>
          <w:rFonts w:ascii="微软雅黑" w:hAnsi="微软雅黑" w:eastAsia="微软雅黑" w:cs="微软雅黑"/>
          <w:color w:val="32373F"/>
          <w:spacing w:val="4"/>
        </w:rPr>
        <w:t xml:space="preserve">中心区域 </w:t>
      </w:r>
      <w:r>
        <w:rPr>
          <w:color w:val="32373F"/>
          <w:spacing w:val="4"/>
        </w:rPr>
        <w:t xml:space="preserve">9 </w:t>
      </w:r>
      <w:r>
        <w:rPr>
          <w:rFonts w:ascii="微软雅黑" w:hAnsi="微软雅黑" w:eastAsia="微软雅黑" w:cs="微软雅黑"/>
          <w:color w:val="32373F"/>
          <w:spacing w:val="4"/>
        </w:rPr>
        <w:t xml:space="preserve">个晶体的 </w:t>
      </w:r>
      <w:r>
        <w:rPr>
          <w:color w:val="32373F"/>
        </w:rPr>
        <w:t>MPV</w:t>
      </w:r>
      <w:r>
        <w:rPr>
          <w:color w:val="32373F"/>
          <w:spacing w:val="4"/>
        </w:rPr>
        <w:t xml:space="preserve"> </w:t>
      </w:r>
      <w:r>
        <w:rPr>
          <w:rFonts w:ascii="微软雅黑" w:hAnsi="微软雅黑" w:eastAsia="微软雅黑" w:cs="微软雅黑"/>
          <w:color w:val="32373F"/>
          <w:spacing w:val="4"/>
        </w:rPr>
        <w:t xml:space="preserve">分布在约 </w:t>
      </w:r>
      <w:r>
        <w:rPr>
          <w:color w:val="32373F"/>
          <w:spacing w:val="4"/>
        </w:rPr>
        <w:t xml:space="preserve">5581–6720 </w:t>
      </w:r>
      <w:r>
        <w:rPr>
          <w:color w:val="32373F"/>
        </w:rPr>
        <w:t>ADC</w:t>
      </w:r>
      <w:r>
        <w:rPr>
          <w:color w:val="32373F"/>
          <w:spacing w:val="4"/>
        </w:rPr>
        <w:t xml:space="preserve"> </w:t>
      </w:r>
      <w:r>
        <w:rPr>
          <w:rFonts w:ascii="微软雅黑" w:hAnsi="微软雅黑" w:eastAsia="微软雅黑" w:cs="微软雅黑"/>
          <w:color w:val="32373F"/>
          <w:spacing w:val="4"/>
        </w:rPr>
        <w:t>之间，峰形较为对称，朗道卷积拟</w:t>
      </w:r>
      <w:r>
        <w:rPr>
          <w:rFonts w:ascii="微软雅黑" w:hAnsi="微软雅黑" w:eastAsia="微软雅黑" w:cs="微软雅黑"/>
          <w:color w:val="32373F"/>
          <w:spacing w:val="3"/>
        </w:rPr>
        <w:t xml:space="preserve">合效果良好，有效事例数在 </w:t>
      </w:r>
      <w:r>
        <w:rPr>
          <w:color w:val="32373F"/>
          <w:spacing w:val="3"/>
        </w:rPr>
        <w:t xml:space="preserve">68–101 </w:t>
      </w:r>
      <w:r>
        <w:rPr>
          <w:rFonts w:ascii="微软雅黑" w:hAnsi="微软雅黑" w:eastAsia="微软雅黑" w:cs="微软雅黑"/>
          <w:color w:val="32373F"/>
          <w:spacing w:val="3"/>
        </w:rPr>
        <w:t>个左右，与热循环实验高温保持阶段（</w:t>
      </w:r>
      <w:r>
        <w:rPr>
          <w:color w:val="32373F"/>
          <w:spacing w:val="3"/>
        </w:rPr>
        <w:t xml:space="preserve">5800–6850 </w:t>
      </w:r>
      <w:r>
        <w:rPr>
          <w:color w:val="32373F"/>
        </w:rPr>
        <w:t>ADC</w:t>
      </w:r>
      <w:r>
        <w:rPr>
          <w:color w:val="32373F"/>
          <w:spacing w:val="-27"/>
        </w:rPr>
        <w:t xml:space="preserve"> </w:t>
      </w:r>
      <w:r>
        <w:rPr>
          <w:rFonts w:ascii="微软雅黑" w:hAnsi="微软雅黑" w:eastAsia="微软雅黑" w:cs="微软雅黑"/>
          <w:color w:val="32373F"/>
          <w:spacing w:val="2"/>
        </w:rPr>
        <w:t>，</w:t>
      </w:r>
      <w:r>
        <w:rPr>
          <w:color w:val="32373F"/>
          <w:spacing w:val="2"/>
        </w:rPr>
        <w:t xml:space="preserve">330–360 </w:t>
      </w:r>
      <w:r>
        <w:rPr>
          <w:rFonts w:ascii="微软雅黑" w:hAnsi="微软雅黑" w:eastAsia="微软雅黑" w:cs="微软雅黑"/>
          <w:color w:val="32373F"/>
          <w:spacing w:val="2"/>
        </w:rPr>
        <w:t>个）相比，</w:t>
      </w:r>
      <w:r>
        <w:rPr>
          <w:rFonts w:ascii="微软雅黑" w:hAnsi="微软雅黑" w:eastAsia="微软雅黑" w:cs="微软雅黑"/>
          <w:color w:val="32373F"/>
          <w:spacing w:val="-26"/>
        </w:rPr>
        <w:t xml:space="preserve"> </w:t>
      </w:r>
      <w:r>
        <w:rPr>
          <w:color w:val="32373F"/>
        </w:rPr>
        <w:t>MPV</w:t>
      </w:r>
      <w:r>
        <w:rPr>
          <w:rFonts w:ascii="微软雅黑" w:hAnsi="微软雅黑" w:eastAsia="微软雅黑" w:cs="微软雅黑"/>
          <w:color w:val="32373F"/>
          <w:spacing w:val="5"/>
        </w:rPr>
        <w:t>峰位略有下降，统计量也有所减少，这与热真空条件下宇宙线统计积累时间的差异有关，峰位的轻</w:t>
      </w:r>
      <w:r>
        <w:rPr>
          <w:rFonts w:ascii="微软雅黑" w:hAnsi="微软雅黑" w:eastAsia="微软雅黑" w:cs="微软雅黑"/>
          <w:color w:val="32373F"/>
          <w:spacing w:val="4"/>
        </w:rPr>
        <w:t>微偏移</w:t>
      </w:r>
    </w:p>
    <w:p w14:paraId="0BE6C31D">
      <w:pPr>
        <w:spacing w:line="231" w:lineRule="auto"/>
        <w:rPr>
          <w:rFonts w:ascii="微软雅黑" w:hAnsi="微软雅黑" w:eastAsia="微软雅黑" w:cs="微软雅黑"/>
        </w:rPr>
        <w:sectPr>
          <w:pgSz w:w="11919" w:h="16858"/>
          <w:pgMar w:top="400" w:right="783" w:bottom="0" w:left="785" w:header="0" w:footer="0" w:gutter="0"/>
          <w:cols w:space="720" w:num="1"/>
        </w:sectPr>
      </w:pPr>
    </w:p>
    <w:p w14:paraId="2969D072">
      <w:pPr>
        <w:pStyle w:val="2"/>
        <w:spacing w:before="181" w:line="239" w:lineRule="auto"/>
        <w:ind w:left="11" w:right="3" w:hanging="9"/>
        <w:rPr>
          <w:rFonts w:ascii="微软雅黑" w:hAnsi="微软雅黑" w:eastAsia="微软雅黑" w:cs="微软雅黑"/>
        </w:rPr>
      </w:pPr>
      <w:r>
        <w:rPr>
          <w:rFonts w:ascii="微软雅黑" w:hAnsi="微软雅黑" w:eastAsia="微软雅黑" w:cs="微软雅黑"/>
          <w:color w:val="32373F"/>
          <w:spacing w:val="5"/>
        </w:rPr>
        <w:t>在热真空环境引入的温度调制效应合理范围之内。</w:t>
      </w:r>
      <w:r>
        <w:rPr>
          <w:rFonts w:ascii="微软雅黑" w:hAnsi="微软雅黑" w:eastAsia="微软雅黑" w:cs="微软雅黑"/>
          <w:color w:val="32373F"/>
          <w:spacing w:val="4"/>
        </w:rPr>
        <w:t xml:space="preserve">全部 </w:t>
      </w:r>
      <w:r>
        <w:rPr>
          <w:color w:val="32373F"/>
          <w:spacing w:val="4"/>
        </w:rPr>
        <w:t xml:space="preserve">25 </w:t>
      </w:r>
      <w:r>
        <w:rPr>
          <w:rFonts w:ascii="微软雅黑" w:hAnsi="微软雅黑" w:eastAsia="微软雅黑" w:cs="微软雅黑"/>
          <w:color w:val="32373F"/>
          <w:spacing w:val="4"/>
        </w:rPr>
        <w:t xml:space="preserve">个通道均能提取有效的 </w:t>
      </w:r>
      <w:r>
        <w:rPr>
          <w:color w:val="32373F"/>
        </w:rPr>
        <w:t>MIP</w:t>
      </w:r>
      <w:r>
        <w:rPr>
          <w:color w:val="32373F"/>
          <w:spacing w:val="4"/>
        </w:rPr>
        <w:t xml:space="preserve"> </w:t>
      </w:r>
      <w:r>
        <w:rPr>
          <w:rFonts w:ascii="微软雅黑" w:hAnsi="微软雅黑" w:eastAsia="微软雅黑" w:cs="微软雅黑"/>
          <w:color w:val="32373F"/>
          <w:spacing w:val="4"/>
        </w:rPr>
        <w:t>峰位，拟合收敛正</w:t>
      </w:r>
      <w:r>
        <w:rPr>
          <w:rFonts w:ascii="微软雅黑" w:hAnsi="微软雅黑" w:eastAsia="微软雅黑" w:cs="微软雅黑"/>
          <w:color w:val="32373F"/>
          <w:spacing w:val="2"/>
        </w:rPr>
        <w:t>常，未发现信号异常消失或谱形严重畸变的通道。</w:t>
      </w:r>
    </w:p>
    <w:p w14:paraId="03BCE30E">
      <w:pPr>
        <w:pStyle w:val="2"/>
        <w:spacing w:before="310" w:line="186" w:lineRule="auto"/>
        <w:ind w:left="15"/>
        <w:rPr>
          <w:rFonts w:ascii="微软雅黑" w:hAnsi="微软雅黑" w:eastAsia="微软雅黑" w:cs="微软雅黑"/>
        </w:rPr>
      </w:pPr>
      <w:r>
        <w:rPr>
          <w:b/>
          <w:bCs/>
          <w:color w:val="32373F"/>
        </w:rPr>
        <w:t>MPV</w:t>
      </w:r>
      <w:r>
        <w:rPr>
          <w:b/>
          <w:bCs/>
          <w:color w:val="32373F"/>
          <w:spacing w:val="15"/>
          <w:w w:val="101"/>
        </w:rPr>
        <w:t xml:space="preserve"> </w:t>
      </w:r>
      <w:r>
        <w:rPr>
          <w:rFonts w:ascii="微软雅黑" w:hAnsi="微软雅黑" w:eastAsia="微软雅黑" w:cs="微软雅黑"/>
          <w:b/>
          <w:bCs/>
          <w:color w:val="32373F"/>
          <w:spacing w:val="1"/>
        </w:rPr>
        <w:t>时间稳定性</w:t>
      </w:r>
    </w:p>
    <w:p w14:paraId="10B535F7">
      <w:pPr>
        <w:pStyle w:val="2"/>
        <w:spacing w:line="316" w:lineRule="auto"/>
        <w:rPr>
          <w:sz w:val="21"/>
        </w:rPr>
      </w:pPr>
    </w:p>
    <w:p w14:paraId="2AD78BAF">
      <w:pPr>
        <w:spacing w:line="8850" w:lineRule="exact"/>
      </w:pPr>
      <w:r>
        <w:rPr>
          <w:position w:val="-177"/>
        </w:rPr>
        <w:drawing>
          <wp:inline distT="0" distB="0" distL="0" distR="0">
            <wp:extent cx="6572250" cy="56197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6"/>
                    <a:stretch>
                      <a:fillRect/>
                    </a:stretch>
                  </pic:blipFill>
                  <pic:spPr>
                    <a:xfrm>
                      <a:off x="0" y="0"/>
                      <a:ext cx="6572250" cy="5619750"/>
                    </a:xfrm>
                    <a:prstGeom prst="rect">
                      <a:avLst/>
                    </a:prstGeom>
                  </pic:spPr>
                </pic:pic>
              </a:graphicData>
            </a:graphic>
          </wp:inline>
        </w:drawing>
      </w:r>
    </w:p>
    <w:p w14:paraId="28845D05">
      <w:pPr>
        <w:pStyle w:val="2"/>
        <w:spacing w:before="335"/>
        <w:ind w:left="3"/>
        <w:rPr>
          <w:rFonts w:ascii="微软雅黑" w:hAnsi="微软雅黑" w:eastAsia="微软雅黑" w:cs="微软雅黑"/>
        </w:rPr>
      </w:pPr>
      <w:r>
        <w:rPr>
          <w:rFonts w:ascii="微软雅黑" w:hAnsi="微软雅黑" w:eastAsia="微软雅黑" w:cs="微软雅黑"/>
          <w:color w:val="32373F"/>
          <w:spacing w:val="2"/>
        </w:rPr>
        <w:t xml:space="preserve">该图展示了 </w:t>
      </w:r>
      <w:r>
        <w:rPr>
          <w:color w:val="32373F"/>
          <w:spacing w:val="2"/>
        </w:rPr>
        <w:t xml:space="preserve">4 </w:t>
      </w:r>
      <w:r>
        <w:rPr>
          <w:rFonts w:ascii="微软雅黑" w:hAnsi="微软雅黑" w:eastAsia="微软雅黑" w:cs="微软雅黑"/>
          <w:color w:val="32373F"/>
          <w:spacing w:val="2"/>
        </w:rPr>
        <w:t xml:space="preserve">月 </w:t>
      </w:r>
      <w:r>
        <w:rPr>
          <w:color w:val="32373F"/>
          <w:spacing w:val="2"/>
        </w:rPr>
        <w:t>3</w:t>
      </w:r>
      <w:r>
        <w:rPr>
          <w:color w:val="32373F"/>
          <w:spacing w:val="36"/>
        </w:rPr>
        <w:t xml:space="preserve"> </w:t>
      </w:r>
      <w:r>
        <w:rPr>
          <w:rFonts w:ascii="微软雅黑" w:hAnsi="微软雅黑" w:eastAsia="微软雅黑" w:cs="微软雅黑"/>
          <w:color w:val="32373F"/>
          <w:spacing w:val="2"/>
        </w:rPr>
        <w:t xml:space="preserve">日至 </w:t>
      </w:r>
      <w:r>
        <w:rPr>
          <w:color w:val="32373F"/>
          <w:spacing w:val="2"/>
        </w:rPr>
        <w:t>7</w:t>
      </w:r>
      <w:r>
        <w:rPr>
          <w:color w:val="32373F"/>
          <w:spacing w:val="36"/>
        </w:rPr>
        <w:t xml:space="preserve"> </w:t>
      </w:r>
      <w:r>
        <w:rPr>
          <w:rFonts w:ascii="微软雅黑" w:hAnsi="微软雅黑" w:eastAsia="微软雅黑" w:cs="微软雅黑"/>
          <w:color w:val="32373F"/>
          <w:spacing w:val="2"/>
        </w:rPr>
        <w:t>日热真空全程主份高增益</w:t>
      </w:r>
      <w:r>
        <w:rPr>
          <w:rFonts w:ascii="微软雅黑" w:hAnsi="微软雅黑" w:eastAsia="微软雅黑" w:cs="微软雅黑"/>
          <w:color w:val="32373F"/>
          <w:spacing w:val="1"/>
        </w:rPr>
        <w:t xml:space="preserve"> </w:t>
      </w:r>
      <w:r>
        <w:rPr>
          <w:color w:val="32373F"/>
          <w:spacing w:val="1"/>
        </w:rPr>
        <w:t xml:space="preserve">25 </w:t>
      </w:r>
      <w:r>
        <w:rPr>
          <w:rFonts w:ascii="微软雅黑" w:hAnsi="微软雅黑" w:eastAsia="微软雅黑" w:cs="微软雅黑"/>
          <w:color w:val="32373F"/>
          <w:spacing w:val="1"/>
        </w:rPr>
        <w:t xml:space="preserve">个晶体通道宇宙线 </w:t>
      </w:r>
      <w:r>
        <w:rPr>
          <w:color w:val="32373F"/>
        </w:rPr>
        <w:t>MPV</w:t>
      </w:r>
      <w:r>
        <w:rPr>
          <w:color w:val="32373F"/>
          <w:spacing w:val="1"/>
        </w:rPr>
        <w:t xml:space="preserve"> </w:t>
      </w:r>
      <w:r>
        <w:rPr>
          <w:rFonts w:ascii="微软雅黑" w:hAnsi="微软雅黑" w:eastAsia="微软雅黑" w:cs="微软雅黑"/>
          <w:color w:val="32373F"/>
          <w:spacing w:val="1"/>
        </w:rPr>
        <w:t>峰位的时间演化。</w:t>
      </w:r>
    </w:p>
    <w:p w14:paraId="0804438B">
      <w:pPr>
        <w:spacing w:before="326" w:line="186" w:lineRule="auto"/>
        <w:ind w:left="1"/>
        <w:rPr>
          <w:rFonts w:ascii="微软雅黑" w:hAnsi="微软雅黑" w:eastAsia="微软雅黑" w:cs="微软雅黑"/>
          <w:sz w:val="22"/>
          <w:szCs w:val="22"/>
        </w:rPr>
      </w:pPr>
      <w:r>
        <w:rPr>
          <w:rFonts w:ascii="微软雅黑" w:hAnsi="微软雅黑" w:eastAsia="微软雅黑" w:cs="微软雅黑"/>
          <w:color w:val="32373F"/>
          <w:spacing w:val="3"/>
          <w:sz w:val="22"/>
          <w:szCs w:val="22"/>
        </w:rPr>
        <w:t>各晶体通道的峰位时间演化呈现出清晰的两类行为模式。</w:t>
      </w:r>
    </w:p>
    <w:p w14:paraId="21F9C832">
      <w:pPr>
        <w:pStyle w:val="2"/>
        <w:spacing w:before="323" w:line="230" w:lineRule="auto"/>
        <w:ind w:left="1" w:right="51" w:firstLine="12"/>
        <w:rPr>
          <w:rFonts w:ascii="微软雅黑" w:hAnsi="微软雅黑" w:eastAsia="微软雅黑" w:cs="微软雅黑"/>
        </w:rPr>
      </w:pPr>
      <w:r>
        <w:rPr>
          <w:rFonts w:ascii="微软雅黑" w:hAnsi="微软雅黑" w:eastAsia="微软雅黑" w:cs="微软雅黑"/>
          <w:b/>
          <w:bCs/>
          <w:color w:val="32373F"/>
          <w:spacing w:val="4"/>
        </w:rPr>
        <w:t>中心区域晶体</w:t>
      </w:r>
      <w:r>
        <w:rPr>
          <w:rFonts w:ascii="微软雅黑" w:hAnsi="微软雅黑" w:eastAsia="微软雅黑" w:cs="微软雅黑"/>
          <w:color w:val="32373F"/>
          <w:spacing w:val="4"/>
        </w:rPr>
        <w:t>：峰位时间曲线呈现大幅度的周期性振荡，振荡幅度约为</w:t>
      </w:r>
      <w:r>
        <w:rPr>
          <w:rFonts w:ascii="微软雅黑" w:hAnsi="微软雅黑" w:eastAsia="微软雅黑" w:cs="微软雅黑"/>
          <w:color w:val="32373F"/>
          <w:spacing w:val="24"/>
        </w:rPr>
        <w:t xml:space="preserve"> </w:t>
      </w:r>
      <w:r>
        <w:rPr>
          <w:color w:val="32373F"/>
          <w:spacing w:val="4"/>
        </w:rPr>
        <w:t>5000–</w:t>
      </w:r>
      <w:r>
        <w:rPr>
          <w:color w:val="32373F"/>
          <w:spacing w:val="3"/>
        </w:rPr>
        <w:t xml:space="preserve">20000 </w:t>
      </w:r>
      <w:r>
        <w:rPr>
          <w:color w:val="32373F"/>
        </w:rPr>
        <w:t>ADC</w:t>
      </w:r>
      <w:r>
        <w:rPr>
          <w:rFonts w:ascii="微软雅黑" w:hAnsi="微软雅黑" w:eastAsia="微软雅黑" w:cs="微软雅黑"/>
          <w:color w:val="32373F"/>
          <w:spacing w:val="3"/>
        </w:rPr>
        <w:t>，与热真空试</w:t>
      </w:r>
      <w:r>
        <w:rPr>
          <w:rFonts w:ascii="微软雅黑" w:hAnsi="微软雅黑" w:eastAsia="微软雅黑" w:cs="微软雅黑"/>
          <w:color w:val="32373F"/>
          <w:spacing w:val="4"/>
        </w:rPr>
        <w:t>验温度剖面的高低温台阶高度同步，低温台阶对应峰位可升至约</w:t>
      </w:r>
      <w:r>
        <w:rPr>
          <w:rFonts w:ascii="微软雅黑" w:hAnsi="微软雅黑" w:eastAsia="微软雅黑" w:cs="微软雅黑"/>
          <w:color w:val="32373F"/>
          <w:spacing w:val="23"/>
          <w:w w:val="101"/>
        </w:rPr>
        <w:t xml:space="preserve"> </w:t>
      </w:r>
      <w:r>
        <w:rPr>
          <w:color w:val="32373F"/>
          <w:spacing w:val="4"/>
        </w:rPr>
        <w:t xml:space="preserve">15000–25000 </w:t>
      </w:r>
      <w:r>
        <w:rPr>
          <w:color w:val="32373F"/>
        </w:rPr>
        <w:t>ADC</w:t>
      </w:r>
      <w:r>
        <w:rPr>
          <w:rFonts w:ascii="微软雅黑" w:hAnsi="微软雅黑" w:eastAsia="微软雅黑" w:cs="微软雅黑"/>
          <w:color w:val="32373F"/>
          <w:spacing w:val="4"/>
        </w:rPr>
        <w:t xml:space="preserve">，高温台阶对应峰位回落至约 </w:t>
      </w:r>
      <w:r>
        <w:rPr>
          <w:color w:val="32373F"/>
          <w:spacing w:val="4"/>
        </w:rPr>
        <w:t xml:space="preserve">5000–7000 </w:t>
      </w:r>
      <w:r>
        <w:rPr>
          <w:color w:val="32373F"/>
        </w:rPr>
        <w:t>ADC</w:t>
      </w:r>
      <w:r>
        <w:rPr>
          <w:rFonts w:ascii="微软雅黑" w:hAnsi="微软雅黑" w:eastAsia="微软雅黑" w:cs="微软雅黑"/>
          <w:color w:val="32373F"/>
          <w:spacing w:val="4"/>
        </w:rPr>
        <w:t xml:space="preserve">。这一显著的温度依赖性主要源于低温条件下 </w:t>
      </w:r>
      <w:r>
        <w:rPr>
          <w:color w:val="32373F"/>
        </w:rPr>
        <w:t>CsI</w:t>
      </w:r>
      <w:r>
        <w:rPr>
          <w:color w:val="32373F"/>
          <w:spacing w:val="4"/>
        </w:rPr>
        <w:t>(</w:t>
      </w:r>
      <w:r>
        <w:rPr>
          <w:color w:val="32373F"/>
        </w:rPr>
        <w:t>Tl</w:t>
      </w:r>
      <w:r>
        <w:rPr>
          <w:color w:val="32373F"/>
          <w:spacing w:val="4"/>
        </w:rPr>
        <w:t xml:space="preserve">) </w:t>
      </w:r>
      <w:r>
        <w:rPr>
          <w:rFonts w:ascii="微软雅黑" w:hAnsi="微软雅黑" w:eastAsia="微软雅黑" w:cs="微软雅黑"/>
          <w:color w:val="32373F"/>
          <w:spacing w:val="4"/>
        </w:rPr>
        <w:t>晶体发光效率提升与</w:t>
      </w:r>
    </w:p>
    <w:p w14:paraId="71B2F866">
      <w:pPr>
        <w:pStyle w:val="2"/>
        <w:spacing w:before="36"/>
        <w:ind w:left="3" w:right="374" w:hanging="3"/>
        <w:rPr>
          <w:rFonts w:ascii="微软雅黑" w:hAnsi="微软雅黑" w:eastAsia="微软雅黑" w:cs="微软雅黑"/>
        </w:rPr>
      </w:pPr>
      <w:r>
        <w:rPr>
          <w:color w:val="32373F"/>
        </w:rPr>
        <w:t>APD</w:t>
      </w:r>
      <w:r>
        <w:rPr>
          <w:color w:val="32373F"/>
          <w:spacing w:val="5"/>
        </w:rPr>
        <w:t xml:space="preserve"> </w:t>
      </w:r>
      <w:r>
        <w:rPr>
          <w:rFonts w:ascii="微软雅黑" w:hAnsi="微软雅黑" w:eastAsia="微软雅黑" w:cs="微软雅黑"/>
          <w:color w:val="32373F"/>
          <w:spacing w:val="5"/>
        </w:rPr>
        <w:t>增益增大的共同作用；尽管振荡幅度较大，但在每个相同温度台阶下各晶体峰位回归水平高度一</w:t>
      </w:r>
      <w:r>
        <w:rPr>
          <w:rFonts w:ascii="微软雅黑" w:hAnsi="微软雅黑" w:eastAsia="微软雅黑" w:cs="微软雅黑"/>
          <w:color w:val="32373F"/>
          <w:spacing w:val="2"/>
        </w:rPr>
        <w:t>致，可逆性良好，未观测到系统性单向漂移。</w:t>
      </w:r>
    </w:p>
    <w:p w14:paraId="367446C8">
      <w:pPr>
        <w:pStyle w:val="2"/>
        <w:spacing w:before="226" w:line="231" w:lineRule="auto"/>
        <w:ind w:left="2" w:right="11" w:firstLine="1"/>
        <w:rPr>
          <w:rFonts w:ascii="微软雅黑" w:hAnsi="微软雅黑" w:eastAsia="微软雅黑" w:cs="微软雅黑"/>
        </w:rPr>
      </w:pPr>
      <w:r>
        <w:rPr>
          <w:rFonts w:ascii="微软雅黑" w:hAnsi="微软雅黑" w:eastAsia="微软雅黑" w:cs="微软雅黑"/>
          <w:b/>
          <w:bCs/>
          <w:color w:val="32373F"/>
          <w:spacing w:val="5"/>
        </w:rPr>
        <w:t>边缘区域晶体</w:t>
      </w:r>
      <w:r>
        <w:rPr>
          <w:rFonts w:ascii="微软雅黑" w:hAnsi="微软雅黑" w:eastAsia="微软雅黑" w:cs="微软雅黑"/>
          <w:color w:val="32373F"/>
          <w:spacing w:val="5"/>
        </w:rPr>
        <w:t>：峰位在整个监测期间维持在约</w:t>
      </w:r>
      <w:r>
        <w:rPr>
          <w:rFonts w:ascii="微软雅黑" w:hAnsi="微软雅黑" w:eastAsia="微软雅黑" w:cs="微软雅黑"/>
          <w:color w:val="32373F"/>
          <w:spacing w:val="4"/>
        </w:rPr>
        <w:t xml:space="preserve"> </w:t>
      </w:r>
      <w:r>
        <w:rPr>
          <w:color w:val="32373F"/>
          <w:spacing w:val="4"/>
        </w:rPr>
        <w:t xml:space="preserve">4000–8000 </w:t>
      </w:r>
      <w:r>
        <w:rPr>
          <w:color w:val="32373F"/>
        </w:rPr>
        <w:t>ADC</w:t>
      </w:r>
      <w:r>
        <w:rPr>
          <w:color w:val="32373F"/>
          <w:spacing w:val="4"/>
        </w:rPr>
        <w:t xml:space="preserve"> </w:t>
      </w:r>
      <w:r>
        <w:rPr>
          <w:rFonts w:ascii="微软雅黑" w:hAnsi="微软雅黑" w:eastAsia="微软雅黑" w:cs="微软雅黑"/>
          <w:color w:val="32373F"/>
          <w:spacing w:val="4"/>
        </w:rPr>
        <w:t>范围内，随温度变化的幅度相对温和，约</w:t>
      </w:r>
      <w:r>
        <w:rPr>
          <w:rFonts w:ascii="微软雅黑" w:hAnsi="微软雅黑" w:eastAsia="微软雅黑" w:cs="微软雅黑"/>
          <w:color w:val="32373F"/>
          <w:spacing w:val="5"/>
        </w:rPr>
        <w:t xml:space="preserve">为 </w:t>
      </w:r>
      <w:r>
        <w:rPr>
          <w:color w:val="32373F"/>
          <w:spacing w:val="5"/>
        </w:rPr>
        <w:t xml:space="preserve">±1000–3000 </w:t>
      </w:r>
      <w:r>
        <w:rPr>
          <w:color w:val="32373F"/>
        </w:rPr>
        <w:t>ADC</w:t>
      </w:r>
      <w:r>
        <w:rPr>
          <w:rFonts w:ascii="微软雅黑" w:hAnsi="微软雅黑" w:eastAsia="微软雅黑" w:cs="微软雅黑"/>
          <w:color w:val="32373F"/>
          <w:spacing w:val="5"/>
        </w:rPr>
        <w:t>，波动规律与温度剖</w:t>
      </w:r>
      <w:r>
        <w:rPr>
          <w:rFonts w:ascii="微软雅黑" w:hAnsi="微软雅黑" w:eastAsia="微软雅黑" w:cs="微软雅黑"/>
          <w:color w:val="32373F"/>
          <w:spacing w:val="4"/>
        </w:rPr>
        <w:t>面具有一定对应关系，无系统性单向漂移，但由于斜入射比例</w:t>
      </w:r>
      <w:r>
        <w:rPr>
          <w:rFonts w:ascii="微软雅黑" w:hAnsi="微软雅黑" w:eastAsia="微软雅黑" w:cs="微软雅黑"/>
          <w:color w:val="32373F"/>
          <w:spacing w:val="2"/>
        </w:rPr>
        <w:t>较高，峰位绝对值及振荡幅度均低于中心晶体。</w:t>
      </w:r>
    </w:p>
    <w:p w14:paraId="16B8266A">
      <w:pPr>
        <w:spacing w:line="231" w:lineRule="auto"/>
        <w:rPr>
          <w:rFonts w:ascii="微软雅黑" w:hAnsi="微软雅黑" w:eastAsia="微软雅黑" w:cs="微软雅黑"/>
        </w:rPr>
        <w:sectPr>
          <w:pgSz w:w="11919" w:h="16858"/>
          <w:pgMar w:top="400" w:right="783" w:bottom="0" w:left="785" w:header="0" w:footer="0" w:gutter="0"/>
          <w:cols w:space="720" w:num="1"/>
        </w:sectPr>
      </w:pPr>
    </w:p>
    <w:p w14:paraId="7DEBAAE3">
      <w:pPr>
        <w:pStyle w:val="2"/>
        <w:spacing w:before="223" w:line="239" w:lineRule="auto"/>
        <w:ind w:left="1" w:right="287" w:firstLine="2"/>
        <w:rPr>
          <w:rFonts w:ascii="微软雅黑" w:hAnsi="微软雅黑" w:eastAsia="微软雅黑" w:cs="微软雅黑"/>
        </w:rPr>
      </w:pPr>
      <w:r>
        <w:rPr>
          <w:rFonts w:ascii="微软雅黑" w:hAnsi="微软雅黑" w:eastAsia="微软雅黑" w:cs="微软雅黑"/>
          <w:color w:val="32373F"/>
          <w:spacing w:val="5"/>
        </w:rPr>
        <w:t xml:space="preserve">与热循环实验相比，热真空环境下中心晶体的 </w:t>
      </w:r>
      <w:r>
        <w:rPr>
          <w:color w:val="32373F"/>
        </w:rPr>
        <w:t>MPV</w:t>
      </w:r>
      <w:r>
        <w:rPr>
          <w:color w:val="32373F"/>
          <w:spacing w:val="5"/>
        </w:rPr>
        <w:t xml:space="preserve"> </w:t>
      </w:r>
      <w:r>
        <w:rPr>
          <w:rFonts w:ascii="微软雅黑" w:hAnsi="微软雅黑" w:eastAsia="微软雅黑" w:cs="微软雅黑"/>
          <w:color w:val="32373F"/>
          <w:spacing w:val="5"/>
        </w:rPr>
        <w:t>温度振荡幅度明显增大，这与真空条</w:t>
      </w:r>
      <w:r>
        <w:rPr>
          <w:rFonts w:ascii="微软雅黑" w:hAnsi="微软雅黑" w:eastAsia="微软雅黑" w:cs="微软雅黑"/>
          <w:color w:val="32373F"/>
          <w:spacing w:val="4"/>
        </w:rPr>
        <w:t>件改变散热路</w:t>
      </w:r>
      <w:r>
        <w:rPr>
          <w:rFonts w:ascii="微软雅黑" w:hAnsi="微软雅黑" w:eastAsia="微软雅黑" w:cs="微软雅黑"/>
          <w:color w:val="32373F"/>
          <w:spacing w:val="3"/>
        </w:rPr>
        <w:t>径、低温台阶时晶体实际温度更低有关，属于预期内的环境差异响应。</w:t>
      </w:r>
    </w:p>
    <w:p w14:paraId="750066D3">
      <w:pPr>
        <w:pStyle w:val="2"/>
        <w:spacing w:before="251" w:line="187" w:lineRule="auto"/>
        <w:ind w:left="9"/>
        <w:outlineLvl w:val="3"/>
      </w:pPr>
      <w:r>
        <w:rPr>
          <w:b/>
          <w:bCs/>
          <w:color w:val="32373F"/>
          <w:spacing w:val="2"/>
        </w:rPr>
        <w:t xml:space="preserve">5.3.2 </w:t>
      </w:r>
      <w:r>
        <w:rPr>
          <w:rFonts w:ascii="微软雅黑" w:hAnsi="微软雅黑" w:eastAsia="微软雅黑" w:cs="微软雅黑"/>
          <w:b/>
          <w:bCs/>
          <w:color w:val="32373F"/>
          <w:spacing w:val="2"/>
        </w:rPr>
        <w:t xml:space="preserve">备份高增益 </w:t>
      </w:r>
      <w:r>
        <w:rPr>
          <w:b/>
          <w:bCs/>
          <w:color w:val="32373F"/>
        </w:rPr>
        <w:t>ADC</w:t>
      </w:r>
    </w:p>
    <w:p w14:paraId="0897D960">
      <w:pPr>
        <w:pStyle w:val="2"/>
        <w:spacing w:before="215" w:line="187" w:lineRule="auto"/>
        <w:ind w:left="4"/>
        <w:rPr>
          <w:rFonts w:ascii="微软雅黑" w:hAnsi="微软雅黑" w:eastAsia="微软雅黑" w:cs="微软雅黑"/>
        </w:rPr>
      </w:pPr>
      <w:r>
        <w:rPr>
          <w:rFonts w:ascii="微软雅黑" w:hAnsi="微软雅黑" w:eastAsia="微软雅黑" w:cs="微软雅黑"/>
          <w:b/>
          <w:bCs/>
          <w:color w:val="32373F"/>
          <w:spacing w:val="4"/>
        </w:rPr>
        <w:t xml:space="preserve">高温保持阶段 </w:t>
      </w:r>
      <w:r>
        <w:rPr>
          <w:b/>
          <w:bCs/>
          <w:color w:val="32373F"/>
        </w:rPr>
        <w:t>ADC</w:t>
      </w:r>
      <w:r>
        <w:rPr>
          <w:b/>
          <w:bCs/>
          <w:color w:val="32373F"/>
          <w:spacing w:val="4"/>
        </w:rPr>
        <w:t xml:space="preserve"> </w:t>
      </w:r>
      <w:r>
        <w:rPr>
          <w:rFonts w:ascii="微软雅黑" w:hAnsi="微软雅黑" w:eastAsia="微软雅黑" w:cs="微软雅黑"/>
          <w:b/>
          <w:bCs/>
          <w:color w:val="32373F"/>
          <w:spacing w:val="4"/>
        </w:rPr>
        <w:t>谱分布</w:t>
      </w:r>
    </w:p>
    <w:p w14:paraId="1485F0DB">
      <w:pPr>
        <w:pStyle w:val="2"/>
        <w:spacing w:line="301" w:lineRule="auto"/>
        <w:rPr>
          <w:sz w:val="21"/>
        </w:rPr>
      </w:pPr>
    </w:p>
    <w:p w14:paraId="1D1FFA56">
      <w:pPr>
        <w:spacing w:before="1" w:line="10185" w:lineRule="exact"/>
      </w:pPr>
      <w:r>
        <w:rPr>
          <w:position w:val="-203"/>
        </w:rPr>
        <w:drawing>
          <wp:inline distT="0" distB="0" distL="0" distR="0">
            <wp:extent cx="6572250" cy="64674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7"/>
                    <a:stretch>
                      <a:fillRect/>
                    </a:stretch>
                  </pic:blipFill>
                  <pic:spPr>
                    <a:xfrm>
                      <a:off x="0" y="0"/>
                      <a:ext cx="6572250" cy="6467475"/>
                    </a:xfrm>
                    <a:prstGeom prst="rect">
                      <a:avLst/>
                    </a:prstGeom>
                  </pic:spPr>
                </pic:pic>
              </a:graphicData>
            </a:graphic>
          </wp:inline>
        </w:drawing>
      </w:r>
    </w:p>
    <w:p w14:paraId="5D5C3296">
      <w:pPr>
        <w:pStyle w:val="2"/>
        <w:spacing w:before="318" w:line="230" w:lineRule="auto"/>
        <w:ind w:left="2" w:right="94"/>
        <w:jc w:val="both"/>
        <w:rPr>
          <w:rFonts w:ascii="微软雅黑" w:hAnsi="微软雅黑" w:eastAsia="微软雅黑" w:cs="微软雅黑"/>
        </w:rPr>
      </w:pPr>
      <w:r>
        <w:rPr>
          <w:rFonts w:ascii="微软雅黑" w:hAnsi="微软雅黑" w:eastAsia="微软雅黑" w:cs="微软雅黑"/>
          <w:color w:val="32373F"/>
          <w:spacing w:val="5"/>
        </w:rPr>
        <w:t xml:space="preserve">该图展示了高温保持阶段备份高增益读出链路 </w:t>
      </w:r>
      <w:r>
        <w:rPr>
          <w:color w:val="32373F"/>
          <w:spacing w:val="5"/>
        </w:rPr>
        <w:t xml:space="preserve">25 </w:t>
      </w:r>
      <w:r>
        <w:rPr>
          <w:rFonts w:ascii="微软雅黑" w:hAnsi="微软雅黑" w:eastAsia="微软雅黑" w:cs="微软雅黑"/>
          <w:color w:val="32373F"/>
          <w:spacing w:val="5"/>
        </w:rPr>
        <w:t>个晶</w:t>
      </w:r>
      <w:r>
        <w:rPr>
          <w:rFonts w:ascii="微软雅黑" w:hAnsi="微软雅黑" w:eastAsia="微软雅黑" w:cs="微软雅黑"/>
          <w:color w:val="32373F"/>
          <w:spacing w:val="4"/>
        </w:rPr>
        <w:t xml:space="preserve">体通道的宇宙线 </w:t>
      </w:r>
      <w:r>
        <w:rPr>
          <w:color w:val="32373F"/>
        </w:rPr>
        <w:t>ADC</w:t>
      </w:r>
      <w:r>
        <w:rPr>
          <w:color w:val="32373F"/>
          <w:spacing w:val="4"/>
        </w:rPr>
        <w:t xml:space="preserve"> </w:t>
      </w:r>
      <w:r>
        <w:rPr>
          <w:rFonts w:ascii="微软雅黑" w:hAnsi="微软雅黑" w:eastAsia="微软雅黑" w:cs="微软雅黑"/>
          <w:color w:val="32373F"/>
          <w:spacing w:val="4"/>
        </w:rPr>
        <w:t>谱分布，谱形特征与主份高</w:t>
      </w:r>
      <w:r>
        <w:rPr>
          <w:rFonts w:ascii="微软雅黑" w:hAnsi="微软雅黑" w:eastAsia="微软雅黑" w:cs="微软雅黑"/>
          <w:color w:val="32373F"/>
          <w:spacing w:val="1"/>
        </w:rPr>
        <w:t xml:space="preserve">增益链路高度一致。同样以中心区域晶体（第 </w:t>
      </w:r>
      <w:r>
        <w:rPr>
          <w:color w:val="32373F"/>
          <w:spacing w:val="1"/>
        </w:rPr>
        <w:t>6</w:t>
      </w:r>
      <w:r>
        <w:rPr>
          <w:rFonts w:ascii="微软雅黑" w:hAnsi="微软雅黑" w:eastAsia="微软雅黑" w:cs="微软雅黑"/>
          <w:color w:val="32373F"/>
        </w:rPr>
        <w:t>、</w:t>
      </w:r>
      <w:r>
        <w:rPr>
          <w:color w:val="32373F"/>
        </w:rPr>
        <w:t>7</w:t>
      </w:r>
      <w:r>
        <w:rPr>
          <w:rFonts w:ascii="微软雅黑" w:hAnsi="微软雅黑" w:eastAsia="微软雅黑" w:cs="微软雅黑"/>
          <w:color w:val="32373F"/>
        </w:rPr>
        <w:t>、</w:t>
      </w:r>
      <w:r>
        <w:rPr>
          <w:color w:val="32373F"/>
        </w:rPr>
        <w:t>8</w:t>
      </w:r>
      <w:r>
        <w:rPr>
          <w:rFonts w:ascii="微软雅黑" w:hAnsi="微软雅黑" w:eastAsia="微软雅黑" w:cs="微软雅黑"/>
          <w:color w:val="32373F"/>
        </w:rPr>
        <w:t>、</w:t>
      </w:r>
      <w:r>
        <w:rPr>
          <w:rFonts w:ascii="微软雅黑" w:hAnsi="微软雅黑" w:eastAsia="微软雅黑" w:cs="微软雅黑"/>
          <w:color w:val="32373F"/>
          <w:spacing w:val="-36"/>
        </w:rPr>
        <w:t xml:space="preserve"> </w:t>
      </w:r>
      <w:r>
        <w:rPr>
          <w:color w:val="32373F"/>
        </w:rPr>
        <w:t>11</w:t>
      </w:r>
      <w:r>
        <w:rPr>
          <w:rFonts w:ascii="微软雅黑" w:hAnsi="微软雅黑" w:eastAsia="微软雅黑" w:cs="微软雅黑"/>
          <w:color w:val="32373F"/>
        </w:rPr>
        <w:t>、</w:t>
      </w:r>
      <w:r>
        <w:rPr>
          <w:rFonts w:ascii="微软雅黑" w:hAnsi="微软雅黑" w:eastAsia="微软雅黑" w:cs="微软雅黑"/>
          <w:color w:val="32373F"/>
          <w:spacing w:val="-35"/>
        </w:rPr>
        <w:t xml:space="preserve"> </w:t>
      </w:r>
      <w:r>
        <w:rPr>
          <w:color w:val="32373F"/>
        </w:rPr>
        <w:t>12</w:t>
      </w:r>
      <w:r>
        <w:rPr>
          <w:rFonts w:ascii="微软雅黑" w:hAnsi="微软雅黑" w:eastAsia="微软雅黑" w:cs="微软雅黑"/>
          <w:color w:val="32373F"/>
        </w:rPr>
        <w:t>、</w:t>
      </w:r>
      <w:r>
        <w:rPr>
          <w:rFonts w:ascii="微软雅黑" w:hAnsi="微软雅黑" w:eastAsia="微软雅黑" w:cs="微软雅黑"/>
          <w:color w:val="32373F"/>
          <w:spacing w:val="-36"/>
        </w:rPr>
        <w:t xml:space="preserve"> </w:t>
      </w:r>
      <w:r>
        <w:rPr>
          <w:color w:val="32373F"/>
        </w:rPr>
        <w:t>13</w:t>
      </w:r>
      <w:r>
        <w:rPr>
          <w:rFonts w:ascii="微软雅黑" w:hAnsi="微软雅黑" w:eastAsia="微软雅黑" w:cs="微软雅黑"/>
          <w:color w:val="32373F"/>
        </w:rPr>
        <w:t>、</w:t>
      </w:r>
      <w:r>
        <w:rPr>
          <w:rFonts w:ascii="微软雅黑" w:hAnsi="微软雅黑" w:eastAsia="微软雅黑" w:cs="微软雅黑"/>
          <w:color w:val="32373F"/>
          <w:spacing w:val="-35"/>
        </w:rPr>
        <w:t xml:space="preserve"> </w:t>
      </w:r>
      <w:r>
        <w:rPr>
          <w:color w:val="32373F"/>
        </w:rPr>
        <w:t>16</w:t>
      </w:r>
      <w:r>
        <w:rPr>
          <w:rFonts w:ascii="微软雅黑" w:hAnsi="微软雅黑" w:eastAsia="微软雅黑" w:cs="微软雅黑"/>
          <w:color w:val="32373F"/>
        </w:rPr>
        <w:t>、</w:t>
      </w:r>
      <w:r>
        <w:rPr>
          <w:rFonts w:ascii="微软雅黑" w:hAnsi="微软雅黑" w:eastAsia="微软雅黑" w:cs="微软雅黑"/>
          <w:color w:val="32373F"/>
          <w:spacing w:val="-36"/>
        </w:rPr>
        <w:t xml:space="preserve"> </w:t>
      </w:r>
      <w:r>
        <w:rPr>
          <w:color w:val="32373F"/>
        </w:rPr>
        <w:t>17</w:t>
      </w:r>
      <w:r>
        <w:rPr>
          <w:rFonts w:ascii="微软雅黑" w:hAnsi="微软雅黑" w:eastAsia="微软雅黑" w:cs="微软雅黑"/>
          <w:color w:val="32373F"/>
        </w:rPr>
        <w:t>、</w:t>
      </w:r>
      <w:r>
        <w:rPr>
          <w:rFonts w:ascii="微软雅黑" w:hAnsi="微软雅黑" w:eastAsia="微软雅黑" w:cs="微软雅黑"/>
          <w:color w:val="32373F"/>
          <w:spacing w:val="-35"/>
        </w:rPr>
        <w:t xml:space="preserve"> </w:t>
      </w:r>
      <w:r>
        <w:rPr>
          <w:color w:val="32373F"/>
        </w:rPr>
        <w:t xml:space="preserve">18 </w:t>
      </w:r>
      <w:r>
        <w:rPr>
          <w:rFonts w:ascii="微软雅黑" w:hAnsi="微软雅黑" w:eastAsia="微软雅黑" w:cs="微软雅黑"/>
          <w:color w:val="32373F"/>
        </w:rPr>
        <w:t>号）为主要评估对</w:t>
      </w:r>
      <w:r>
        <w:rPr>
          <w:rFonts w:ascii="微软雅黑" w:hAnsi="微软雅黑" w:eastAsia="微软雅黑" w:cs="微软雅黑"/>
          <w:color w:val="32373F"/>
          <w:spacing w:val="3"/>
        </w:rPr>
        <w:t>象，</w:t>
      </w:r>
      <w:r>
        <w:rPr>
          <w:rFonts w:ascii="微软雅黑" w:hAnsi="微软雅黑" w:eastAsia="微软雅黑" w:cs="微软雅黑"/>
          <w:color w:val="32373F"/>
          <w:spacing w:val="-42"/>
        </w:rPr>
        <w:t xml:space="preserve"> </w:t>
      </w:r>
      <w:r>
        <w:rPr>
          <w:color w:val="32373F"/>
        </w:rPr>
        <w:t>MPV</w:t>
      </w:r>
      <w:r>
        <w:rPr>
          <w:color w:val="32373F"/>
          <w:spacing w:val="3"/>
        </w:rPr>
        <w:t xml:space="preserve"> </w:t>
      </w:r>
      <w:r>
        <w:rPr>
          <w:rFonts w:ascii="微软雅黑" w:hAnsi="微软雅黑" w:eastAsia="微软雅黑" w:cs="微软雅黑"/>
          <w:color w:val="32373F"/>
          <w:spacing w:val="3"/>
        </w:rPr>
        <w:t xml:space="preserve">分布在约 </w:t>
      </w:r>
      <w:r>
        <w:rPr>
          <w:color w:val="32373F"/>
          <w:spacing w:val="3"/>
        </w:rPr>
        <w:t xml:space="preserve">5775–6604 </w:t>
      </w:r>
      <w:r>
        <w:rPr>
          <w:color w:val="32373F"/>
        </w:rPr>
        <w:t>ADC</w:t>
      </w:r>
      <w:r>
        <w:rPr>
          <w:color w:val="32373F"/>
          <w:spacing w:val="3"/>
        </w:rPr>
        <w:t xml:space="preserve"> </w:t>
      </w:r>
      <w:r>
        <w:rPr>
          <w:rFonts w:ascii="微软雅黑" w:hAnsi="微软雅黑" w:eastAsia="微软雅黑" w:cs="微软雅黑"/>
          <w:color w:val="32373F"/>
          <w:spacing w:val="3"/>
        </w:rPr>
        <w:t>之间，与主份高增益链路对应峰位（</w:t>
      </w:r>
      <w:r>
        <w:rPr>
          <w:color w:val="32373F"/>
          <w:spacing w:val="3"/>
        </w:rPr>
        <w:t xml:space="preserve">5581–6720 </w:t>
      </w:r>
      <w:r>
        <w:rPr>
          <w:color w:val="32373F"/>
        </w:rPr>
        <w:t>ADC</w:t>
      </w:r>
      <w:r>
        <w:rPr>
          <w:rFonts w:ascii="微软雅黑" w:hAnsi="微软雅黑" w:eastAsia="微软雅黑" w:cs="微软雅黑"/>
          <w:color w:val="32373F"/>
          <w:spacing w:val="3"/>
        </w:rPr>
        <w:t>）基本</w:t>
      </w:r>
      <w:r>
        <w:rPr>
          <w:rFonts w:ascii="微软雅黑" w:hAnsi="微软雅黑" w:eastAsia="微软雅黑" w:cs="微软雅黑"/>
          <w:color w:val="32373F"/>
          <w:spacing w:val="2"/>
        </w:rPr>
        <w:t>吻合，</w:t>
      </w:r>
      <w:r>
        <w:rPr>
          <w:rFonts w:ascii="微软雅黑" w:hAnsi="微软雅黑" w:eastAsia="微软雅黑" w:cs="微软雅黑"/>
          <w:color w:val="32373F"/>
          <w:spacing w:val="1"/>
        </w:rPr>
        <w:t>主备份两端响应一致性良好。</w:t>
      </w:r>
    </w:p>
    <w:p w14:paraId="0AA1FE4C">
      <w:pPr>
        <w:pStyle w:val="2"/>
        <w:spacing w:before="296" w:line="239" w:lineRule="auto"/>
        <w:ind w:left="2"/>
        <w:rPr>
          <w:rFonts w:ascii="微软雅黑" w:hAnsi="微软雅黑" w:eastAsia="微软雅黑" w:cs="微软雅黑"/>
        </w:rPr>
      </w:pPr>
      <w:r>
        <w:rPr>
          <w:rFonts w:ascii="微软雅黑" w:hAnsi="微软雅黑" w:eastAsia="微软雅黑" w:cs="微软雅黑"/>
          <w:color w:val="32373F"/>
          <w:spacing w:val="3"/>
        </w:rPr>
        <w:t xml:space="preserve">全部 </w:t>
      </w:r>
      <w:r>
        <w:rPr>
          <w:color w:val="32373F"/>
          <w:spacing w:val="3"/>
        </w:rPr>
        <w:t xml:space="preserve">25 </w:t>
      </w:r>
      <w:r>
        <w:rPr>
          <w:rFonts w:ascii="微软雅黑" w:hAnsi="微软雅黑" w:eastAsia="微软雅黑" w:cs="微软雅黑"/>
          <w:color w:val="32373F"/>
          <w:spacing w:val="3"/>
        </w:rPr>
        <w:t>个通道拟合收敛正常，未发现异常通道，备份高增益链路的宇宙线响应满足预期。</w:t>
      </w:r>
    </w:p>
    <w:p w14:paraId="299E5FFE">
      <w:pPr>
        <w:pStyle w:val="2"/>
        <w:spacing w:before="327" w:line="186" w:lineRule="auto"/>
        <w:ind w:left="15"/>
        <w:rPr>
          <w:rFonts w:ascii="微软雅黑" w:hAnsi="微软雅黑" w:eastAsia="微软雅黑" w:cs="微软雅黑"/>
        </w:rPr>
      </w:pPr>
      <w:r>
        <w:rPr>
          <w:b/>
          <w:bCs/>
          <w:color w:val="32373F"/>
        </w:rPr>
        <w:t>MPV</w:t>
      </w:r>
      <w:r>
        <w:rPr>
          <w:b/>
          <w:bCs/>
          <w:color w:val="32373F"/>
          <w:spacing w:val="15"/>
          <w:w w:val="101"/>
        </w:rPr>
        <w:t xml:space="preserve"> </w:t>
      </w:r>
      <w:r>
        <w:rPr>
          <w:rFonts w:ascii="微软雅黑" w:hAnsi="微软雅黑" w:eastAsia="微软雅黑" w:cs="微软雅黑"/>
          <w:b/>
          <w:bCs/>
          <w:color w:val="32373F"/>
          <w:spacing w:val="1"/>
        </w:rPr>
        <w:t>时间稳定性</w:t>
      </w:r>
    </w:p>
    <w:p w14:paraId="7D6F7B1D">
      <w:pPr>
        <w:spacing w:line="186" w:lineRule="auto"/>
        <w:rPr>
          <w:rFonts w:ascii="微软雅黑" w:hAnsi="微软雅黑" w:eastAsia="微软雅黑" w:cs="微软雅黑"/>
        </w:rPr>
        <w:sectPr>
          <w:pgSz w:w="11919" w:h="16858"/>
          <w:pgMar w:top="400" w:right="783" w:bottom="0" w:left="785" w:header="0" w:footer="0" w:gutter="0"/>
          <w:cols w:space="720" w:num="1"/>
        </w:sectPr>
      </w:pPr>
    </w:p>
    <w:p w14:paraId="6227B62E">
      <w:pPr>
        <w:spacing w:before="160" w:line="8864" w:lineRule="exact"/>
      </w:pPr>
      <w:r>
        <w:rPr>
          <w:position w:val="-177"/>
        </w:rPr>
        <w:drawing>
          <wp:inline distT="0" distB="0" distL="0" distR="0">
            <wp:extent cx="6572250" cy="562864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8"/>
                    <a:stretch>
                      <a:fillRect/>
                    </a:stretch>
                  </pic:blipFill>
                  <pic:spPr>
                    <a:xfrm>
                      <a:off x="0" y="0"/>
                      <a:ext cx="6572250" cy="5629267"/>
                    </a:xfrm>
                    <a:prstGeom prst="rect">
                      <a:avLst/>
                    </a:prstGeom>
                  </pic:spPr>
                </pic:pic>
              </a:graphicData>
            </a:graphic>
          </wp:inline>
        </w:drawing>
      </w:r>
    </w:p>
    <w:p w14:paraId="257F8810">
      <w:pPr>
        <w:pStyle w:val="2"/>
        <w:spacing w:before="319"/>
        <w:ind w:left="2"/>
        <w:rPr>
          <w:rFonts w:ascii="微软雅黑" w:hAnsi="微软雅黑" w:eastAsia="微软雅黑" w:cs="微软雅黑"/>
        </w:rPr>
      </w:pPr>
      <w:r>
        <w:rPr>
          <w:rFonts w:ascii="微软雅黑" w:hAnsi="微软雅黑" w:eastAsia="微软雅黑" w:cs="微软雅黑"/>
          <w:color w:val="32373F"/>
          <w:spacing w:val="5"/>
        </w:rPr>
        <w:t xml:space="preserve">该图展示了热真空全程备份高增益 </w:t>
      </w:r>
      <w:r>
        <w:rPr>
          <w:color w:val="32373F"/>
          <w:spacing w:val="5"/>
        </w:rPr>
        <w:t xml:space="preserve">25 </w:t>
      </w:r>
      <w:r>
        <w:rPr>
          <w:rFonts w:ascii="微软雅黑" w:hAnsi="微软雅黑" w:eastAsia="微软雅黑" w:cs="微软雅黑"/>
          <w:color w:val="32373F"/>
          <w:spacing w:val="5"/>
        </w:rPr>
        <w:t>个晶体通道宇宙</w:t>
      </w:r>
      <w:r>
        <w:rPr>
          <w:rFonts w:ascii="微软雅黑" w:hAnsi="微软雅黑" w:eastAsia="微软雅黑" w:cs="微软雅黑"/>
          <w:color w:val="32373F"/>
          <w:spacing w:val="4"/>
        </w:rPr>
        <w:t xml:space="preserve">线 </w:t>
      </w:r>
      <w:r>
        <w:rPr>
          <w:color w:val="32373F"/>
        </w:rPr>
        <w:t>MPV</w:t>
      </w:r>
      <w:r>
        <w:rPr>
          <w:color w:val="32373F"/>
          <w:spacing w:val="4"/>
        </w:rPr>
        <w:t xml:space="preserve"> </w:t>
      </w:r>
      <w:r>
        <w:rPr>
          <w:rFonts w:ascii="微软雅黑" w:hAnsi="微软雅黑" w:eastAsia="微软雅黑" w:cs="微软雅黑"/>
          <w:color w:val="32373F"/>
          <w:spacing w:val="4"/>
        </w:rPr>
        <w:t>峰位的时间演化，与主份高增益链路的峰</w:t>
      </w:r>
      <w:r>
        <w:rPr>
          <w:rFonts w:ascii="微软雅黑" w:hAnsi="微软雅黑" w:eastAsia="微软雅黑" w:cs="微软雅黑"/>
          <w:color w:val="32373F"/>
          <w:spacing w:val="5"/>
        </w:rPr>
        <w:t>位时间演化规律高度吻合：中心区域晶体同样呈现与温度剖面同步的大幅度周期性振荡，边缘晶</w:t>
      </w:r>
      <w:r>
        <w:rPr>
          <w:rFonts w:ascii="微软雅黑" w:hAnsi="微软雅黑" w:eastAsia="微软雅黑" w:cs="微软雅黑"/>
          <w:color w:val="32373F"/>
          <w:spacing w:val="4"/>
        </w:rPr>
        <w:t>体变化趋</w:t>
      </w:r>
      <w:r>
        <w:rPr>
          <w:rFonts w:ascii="微软雅黑" w:hAnsi="微软雅黑" w:eastAsia="微软雅黑" w:cs="微软雅黑"/>
          <w:color w:val="32373F"/>
          <w:spacing w:val="5"/>
        </w:rPr>
        <w:t>势温和，主备份两端在振荡幅度、振荡相位及各温度台阶下的峰位回归水平上均高度匹配，进一</w:t>
      </w:r>
      <w:r>
        <w:rPr>
          <w:rFonts w:ascii="微软雅黑" w:hAnsi="微软雅黑" w:eastAsia="微软雅黑" w:cs="微软雅黑"/>
          <w:color w:val="32373F"/>
          <w:spacing w:val="4"/>
        </w:rPr>
        <w:t>步验证了</w:t>
      </w:r>
      <w:r>
        <w:rPr>
          <w:rFonts w:ascii="微软雅黑" w:hAnsi="微软雅黑" w:eastAsia="微软雅黑" w:cs="微软雅黑"/>
          <w:color w:val="32373F"/>
          <w:spacing w:val="3"/>
        </w:rPr>
        <w:t>主备份高增益读出链路物理响应的高度一致性。</w:t>
      </w:r>
    </w:p>
    <w:p w14:paraId="2BF00EE5">
      <w:pPr>
        <w:spacing w:before="272" w:line="187" w:lineRule="auto"/>
        <w:ind w:left="2"/>
        <w:rPr>
          <w:rFonts w:ascii="微软雅黑" w:hAnsi="微软雅黑" w:eastAsia="微软雅黑" w:cs="微软雅黑"/>
          <w:sz w:val="22"/>
          <w:szCs w:val="22"/>
        </w:rPr>
      </w:pPr>
      <w:r>
        <w:rPr>
          <w:rFonts w:ascii="微软雅黑" w:hAnsi="微软雅黑" w:eastAsia="微软雅黑" w:cs="微软雅黑"/>
          <w:color w:val="32373F"/>
          <w:spacing w:val="1"/>
          <w:sz w:val="22"/>
          <w:szCs w:val="22"/>
        </w:rPr>
        <w:t>全程未发现不可逆的性能退化现象。</w:t>
      </w:r>
    </w:p>
    <w:p w14:paraId="2DB8E663">
      <w:pPr>
        <w:pStyle w:val="2"/>
        <w:spacing w:line="316" w:lineRule="auto"/>
        <w:rPr>
          <w:sz w:val="21"/>
        </w:rPr>
      </w:pPr>
    </w:p>
    <w:p w14:paraId="039DD42E">
      <w:pPr>
        <w:spacing w:before="1" w:line="30" w:lineRule="exact"/>
      </w:pPr>
      <w:r>
        <w:drawing>
          <wp:inline distT="0" distB="0" distL="0" distR="0">
            <wp:extent cx="6572250" cy="190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
                    <a:stretch>
                      <a:fillRect/>
                    </a:stretch>
                  </pic:blipFill>
                  <pic:spPr>
                    <a:xfrm>
                      <a:off x="0" y="0"/>
                      <a:ext cx="6572250" cy="19050"/>
                    </a:xfrm>
                    <a:prstGeom prst="rect">
                      <a:avLst/>
                    </a:prstGeom>
                  </pic:spPr>
                </pic:pic>
              </a:graphicData>
            </a:graphic>
          </wp:inline>
        </w:drawing>
      </w:r>
    </w:p>
    <w:p w14:paraId="64FC4F14">
      <w:pPr>
        <w:pStyle w:val="2"/>
        <w:spacing w:before="231" w:line="184" w:lineRule="auto"/>
        <w:ind w:left="12"/>
        <w:outlineLvl w:val="1"/>
        <w:rPr>
          <w:rFonts w:ascii="微软雅黑" w:hAnsi="微软雅黑" w:eastAsia="微软雅黑" w:cs="微软雅黑"/>
          <w:sz w:val="29"/>
          <w:szCs w:val="29"/>
        </w:rPr>
      </w:pPr>
      <w:r>
        <w:rPr>
          <w:b/>
          <w:bCs/>
          <w:color w:val="32373F"/>
          <w:spacing w:val="-1"/>
          <w:sz w:val="29"/>
          <w:szCs w:val="29"/>
        </w:rPr>
        <w:t xml:space="preserve">6. </w:t>
      </w:r>
      <w:r>
        <w:rPr>
          <w:rFonts w:ascii="微软雅黑" w:hAnsi="微软雅黑" w:eastAsia="微软雅黑" w:cs="微软雅黑"/>
          <w:b/>
          <w:bCs/>
          <w:color w:val="32373F"/>
          <w:spacing w:val="-1"/>
          <w:sz w:val="29"/>
          <w:szCs w:val="29"/>
        </w:rPr>
        <w:t>结果</w:t>
      </w:r>
    </w:p>
    <w:p w14:paraId="1B74C4FE">
      <w:pPr>
        <w:pStyle w:val="2"/>
        <w:spacing w:before="275" w:line="236" w:lineRule="auto"/>
        <w:ind w:left="2" w:right="69"/>
        <w:rPr>
          <w:rFonts w:ascii="微软雅黑" w:hAnsi="微软雅黑" w:eastAsia="微软雅黑" w:cs="微软雅黑"/>
        </w:rPr>
      </w:pPr>
      <w:r>
        <w:rPr>
          <w:rFonts w:ascii="微软雅黑" w:hAnsi="微软雅黑" w:eastAsia="微软雅黑" w:cs="微软雅黑"/>
          <w:color w:val="32373F"/>
          <w:spacing w:val="5"/>
        </w:rPr>
        <w:t xml:space="preserve">本报告对 </w:t>
      </w:r>
      <w:r>
        <w:rPr>
          <w:color w:val="32373F"/>
        </w:rPr>
        <w:t>VLAST</w:t>
      </w:r>
      <w:r>
        <w:rPr>
          <w:color w:val="32373F"/>
          <w:spacing w:val="5"/>
        </w:rPr>
        <w:t xml:space="preserve">-P </w:t>
      </w:r>
      <w:r>
        <w:rPr>
          <w:rFonts w:ascii="微软雅黑" w:hAnsi="微软雅黑" w:eastAsia="微软雅黑" w:cs="微软雅黑"/>
          <w:color w:val="32373F"/>
          <w:spacing w:val="5"/>
        </w:rPr>
        <w:t>电磁量能器（</w:t>
      </w:r>
      <w:r>
        <w:rPr>
          <w:color w:val="32373F"/>
        </w:rPr>
        <w:t>Calo</w:t>
      </w:r>
      <w:r>
        <w:rPr>
          <w:rFonts w:ascii="微软雅黑" w:hAnsi="微软雅黑" w:eastAsia="微软雅黑" w:cs="微软雅黑"/>
          <w:color w:val="32373F"/>
          <w:spacing w:val="5"/>
        </w:rPr>
        <w:t>）在热真空试验全程中的工作状</w:t>
      </w:r>
      <w:r>
        <w:rPr>
          <w:rFonts w:ascii="微软雅黑" w:hAnsi="微软雅黑" w:eastAsia="微软雅黑" w:cs="微软雅黑"/>
          <w:color w:val="32373F"/>
          <w:spacing w:val="4"/>
        </w:rPr>
        <w:t>态进行了系统分析，涵盖遥测工作</w:t>
      </w:r>
      <w:r>
        <w:rPr>
          <w:rFonts w:ascii="微软雅黑" w:hAnsi="微软雅黑" w:eastAsia="微软雅黑" w:cs="微软雅黑"/>
          <w:color w:val="32373F"/>
          <w:spacing w:val="5"/>
        </w:rPr>
        <w:t>状态参数监测、电子学台基分析、刻度线性分析及宇宙线最小电离粒子响应分析四个方面。主</w:t>
      </w:r>
      <w:r>
        <w:rPr>
          <w:rFonts w:ascii="微软雅黑" w:hAnsi="微软雅黑" w:eastAsia="微软雅黑" w:cs="微软雅黑"/>
          <w:color w:val="32373F"/>
          <w:spacing w:val="4"/>
        </w:rPr>
        <w:t>要结论如</w:t>
      </w:r>
      <w:r>
        <w:rPr>
          <w:rFonts w:ascii="微软雅黑" w:hAnsi="微软雅黑" w:eastAsia="微软雅黑" w:cs="微软雅黑"/>
          <w:color w:val="32373F"/>
          <w:spacing w:val="-10"/>
        </w:rPr>
        <w:t>下：</w:t>
      </w:r>
    </w:p>
    <w:p w14:paraId="636285D7">
      <w:pPr>
        <w:pStyle w:val="2"/>
        <w:spacing w:before="264" w:line="187" w:lineRule="auto"/>
        <w:ind w:left="10"/>
        <w:outlineLvl w:val="2"/>
        <w:rPr>
          <w:rFonts w:ascii="微软雅黑" w:hAnsi="微软雅黑" w:eastAsia="微软雅黑" w:cs="微软雅黑"/>
          <w:sz w:val="24"/>
          <w:szCs w:val="24"/>
        </w:rPr>
      </w:pPr>
      <w:r>
        <w:rPr>
          <w:b/>
          <w:bCs/>
          <w:color w:val="32373F"/>
          <w:spacing w:val="4"/>
          <w:sz w:val="24"/>
          <w:szCs w:val="24"/>
        </w:rPr>
        <w:t xml:space="preserve">6.1 </w:t>
      </w:r>
      <w:r>
        <w:rPr>
          <w:rFonts w:ascii="微软雅黑" w:hAnsi="微软雅黑" w:eastAsia="微软雅黑" w:cs="微软雅黑"/>
          <w:b/>
          <w:bCs/>
          <w:color w:val="32373F"/>
          <w:spacing w:val="4"/>
          <w:sz w:val="24"/>
          <w:szCs w:val="24"/>
        </w:rPr>
        <w:t>遥测工作状态</w:t>
      </w:r>
    </w:p>
    <w:p w14:paraId="053EC04B">
      <w:pPr>
        <w:pStyle w:val="2"/>
        <w:spacing w:before="182" w:line="243" w:lineRule="auto"/>
        <w:ind w:left="1" w:right="24" w:firstLine="4"/>
        <w:jc w:val="both"/>
        <w:rPr>
          <w:rFonts w:ascii="微软雅黑" w:hAnsi="微软雅黑" w:eastAsia="微软雅黑" w:cs="微软雅黑"/>
        </w:rPr>
      </w:pPr>
      <w:r>
        <w:rPr>
          <w:rFonts w:ascii="微软雅黑" w:hAnsi="微软雅黑" w:eastAsia="微软雅黑" w:cs="微软雅黑"/>
          <w:color w:val="32373F"/>
          <w:spacing w:val="3"/>
        </w:rPr>
        <w:t xml:space="preserve">热真空试验全程中， </w:t>
      </w:r>
      <w:r>
        <w:rPr>
          <w:color w:val="32373F"/>
        </w:rPr>
        <w:t>FEE</w:t>
      </w:r>
      <w:r>
        <w:rPr>
          <w:color w:val="32373F"/>
          <w:spacing w:val="3"/>
        </w:rPr>
        <w:t>5–8</w:t>
      </w:r>
      <w:r>
        <w:rPr>
          <w:color w:val="32373F"/>
          <w:spacing w:val="23"/>
        </w:rPr>
        <w:t xml:space="preserve"> </w:t>
      </w:r>
      <w:r>
        <w:rPr>
          <w:rFonts w:ascii="微软雅黑" w:hAnsi="微软雅黑" w:eastAsia="微软雅黑" w:cs="微软雅黑"/>
          <w:color w:val="32373F"/>
          <w:spacing w:val="3"/>
        </w:rPr>
        <w:t>四块前端电子学板的温度遥测曲线连续平滑，各测点响应与预设温</w:t>
      </w:r>
      <w:r>
        <w:rPr>
          <w:rFonts w:ascii="微软雅黑" w:hAnsi="微软雅黑" w:eastAsia="微软雅黑" w:cs="微软雅黑"/>
          <w:color w:val="32373F"/>
          <w:spacing w:val="2"/>
        </w:rPr>
        <w:t>度剖面高</w:t>
      </w:r>
      <w:r>
        <w:rPr>
          <w:rFonts w:ascii="微软雅黑" w:hAnsi="微软雅黑" w:eastAsia="微软雅黑" w:cs="微软雅黑"/>
          <w:color w:val="32373F"/>
          <w:spacing w:val="11"/>
        </w:rPr>
        <w:t xml:space="preserve">度吻合，高低温台阶均在合理范围内稳定收敛，四块板卡之间温度差异极小（约 </w:t>
      </w:r>
      <w:r>
        <w:rPr>
          <w:color w:val="32373F"/>
          <w:spacing w:val="11"/>
        </w:rPr>
        <w:t xml:space="preserve">±1–2 </w:t>
      </w:r>
      <w:r>
        <w:rPr>
          <w:rFonts w:ascii="微软雅黑" w:hAnsi="微软雅黑" w:eastAsia="微软雅黑" w:cs="微软雅黑"/>
          <w:color w:val="32373F"/>
          <w:spacing w:val="11"/>
        </w:rPr>
        <w:t>℃),温场</w:t>
      </w:r>
      <w:r>
        <w:rPr>
          <w:rFonts w:ascii="微软雅黑" w:hAnsi="微软雅黑" w:eastAsia="微软雅黑" w:cs="微软雅黑"/>
          <w:color w:val="32373F"/>
          <w:spacing w:val="10"/>
        </w:rPr>
        <w:t>分布均</w:t>
      </w:r>
      <w:r>
        <w:rPr>
          <w:rFonts w:ascii="微软雅黑" w:hAnsi="微软雅黑" w:eastAsia="微软雅黑" w:cs="微软雅黑"/>
          <w:color w:val="32373F"/>
          <w:spacing w:val="3"/>
        </w:rPr>
        <w:t>匀。各路电源电流工作状态持续稳定：</w:t>
      </w:r>
      <w:r>
        <w:rPr>
          <w:rFonts w:ascii="微软雅黑" w:hAnsi="微软雅黑" w:eastAsia="微软雅黑" w:cs="微软雅黑"/>
          <w:color w:val="32373F"/>
          <w:spacing w:val="54"/>
        </w:rPr>
        <w:t xml:space="preserve"> </w:t>
      </w:r>
      <w:r>
        <w:rPr>
          <w:color w:val="32373F"/>
          <w:spacing w:val="3"/>
        </w:rPr>
        <w:t xml:space="preserve">1.8 V </w:t>
      </w:r>
      <w:r>
        <w:rPr>
          <w:rFonts w:ascii="微软雅黑" w:hAnsi="微软雅黑" w:eastAsia="微软雅黑" w:cs="微软雅黑"/>
          <w:color w:val="32373F"/>
          <w:spacing w:val="3"/>
        </w:rPr>
        <w:t>电流随温度呈现约</w:t>
      </w:r>
      <w:r>
        <w:rPr>
          <w:color w:val="32373F"/>
          <w:spacing w:val="3"/>
        </w:rPr>
        <w:t xml:space="preserve">±40–80 </w:t>
      </w:r>
      <w:r>
        <w:rPr>
          <w:color w:val="32373F"/>
        </w:rPr>
        <w:t>mA</w:t>
      </w:r>
      <w:r>
        <w:rPr>
          <w:color w:val="32373F"/>
          <w:spacing w:val="3"/>
        </w:rPr>
        <w:t xml:space="preserve"> </w:t>
      </w:r>
      <w:r>
        <w:rPr>
          <w:rFonts w:ascii="微软雅黑" w:hAnsi="微软雅黑" w:eastAsia="微软雅黑" w:cs="微软雅黑"/>
          <w:color w:val="32373F"/>
          <w:spacing w:val="3"/>
        </w:rPr>
        <w:t>的周期性波动，与器件功耗</w:t>
      </w:r>
    </w:p>
    <w:p w14:paraId="3A1375A0">
      <w:pPr>
        <w:spacing w:line="243" w:lineRule="auto"/>
        <w:rPr>
          <w:rFonts w:ascii="微软雅黑" w:hAnsi="微软雅黑" w:eastAsia="微软雅黑" w:cs="微软雅黑"/>
        </w:rPr>
        <w:sectPr>
          <w:pgSz w:w="11919" w:h="16858"/>
          <w:pgMar w:top="400" w:right="783" w:bottom="0" w:left="785" w:header="0" w:footer="0" w:gutter="0"/>
          <w:cols w:space="720" w:num="1"/>
        </w:sectPr>
      </w:pPr>
    </w:p>
    <w:p w14:paraId="03DC1F27">
      <w:pPr>
        <w:pStyle w:val="2"/>
        <w:spacing w:before="180" w:line="239" w:lineRule="auto"/>
        <w:ind w:left="3" w:right="119" w:firstLine="9"/>
        <w:rPr>
          <w:rFonts w:ascii="微软雅黑" w:hAnsi="微软雅黑" w:eastAsia="微软雅黑" w:cs="微软雅黑"/>
        </w:rPr>
      </w:pPr>
      <w:r>
        <w:rPr>
          <w:rFonts w:ascii="微软雅黑" w:hAnsi="微软雅黑" w:eastAsia="微软雅黑" w:cs="微软雅黑"/>
          <w:color w:val="32373F"/>
          <w:spacing w:val="4"/>
        </w:rPr>
        <w:t>的温度相关性一致；</w:t>
      </w:r>
      <w:r>
        <w:rPr>
          <w:color w:val="32373F"/>
          <w:spacing w:val="4"/>
        </w:rPr>
        <w:t xml:space="preserve">±5 V </w:t>
      </w:r>
      <w:r>
        <w:rPr>
          <w:rFonts w:ascii="微软雅黑" w:hAnsi="微软雅黑" w:eastAsia="微软雅黑" w:cs="微软雅黑"/>
          <w:color w:val="32373F"/>
          <w:spacing w:val="4"/>
        </w:rPr>
        <w:t xml:space="preserve">电流波动幅度约 </w:t>
      </w:r>
      <w:r>
        <w:rPr>
          <w:color w:val="32373F"/>
          <w:spacing w:val="4"/>
        </w:rPr>
        <w:t xml:space="preserve">±5 </w:t>
      </w:r>
      <w:r>
        <w:rPr>
          <w:color w:val="32373F"/>
        </w:rPr>
        <w:t>mA</w:t>
      </w:r>
      <w:r>
        <w:rPr>
          <w:rFonts w:ascii="微软雅黑" w:hAnsi="微软雅黑" w:eastAsia="微软雅黑" w:cs="微软雅黑"/>
          <w:color w:val="32373F"/>
          <w:spacing w:val="4"/>
        </w:rPr>
        <w:t>，对温度变化不敏感。全程未发现电流异常突变、温度</w:t>
      </w:r>
      <w:r>
        <w:rPr>
          <w:rFonts w:ascii="微软雅黑" w:hAnsi="微软雅黑" w:eastAsia="微软雅黑" w:cs="微软雅黑"/>
          <w:color w:val="32373F"/>
          <w:spacing w:val="3"/>
        </w:rPr>
        <w:t>场异常分布或数据采集持续中断等问题，载荷电子学工作状态良好。</w:t>
      </w:r>
    </w:p>
    <w:p w14:paraId="068DF277">
      <w:pPr>
        <w:pStyle w:val="2"/>
        <w:spacing w:before="305" w:line="188" w:lineRule="auto"/>
        <w:ind w:left="10"/>
        <w:outlineLvl w:val="2"/>
        <w:rPr>
          <w:rFonts w:ascii="微软雅黑" w:hAnsi="微软雅黑" w:eastAsia="微软雅黑" w:cs="微软雅黑"/>
          <w:sz w:val="24"/>
          <w:szCs w:val="24"/>
        </w:rPr>
      </w:pPr>
      <w:r>
        <w:rPr>
          <w:b/>
          <w:bCs/>
          <w:color w:val="32373F"/>
          <w:spacing w:val="4"/>
          <w:sz w:val="24"/>
          <w:szCs w:val="24"/>
        </w:rPr>
        <w:t xml:space="preserve">6.2 </w:t>
      </w:r>
      <w:r>
        <w:rPr>
          <w:rFonts w:ascii="微软雅黑" w:hAnsi="微软雅黑" w:eastAsia="微软雅黑" w:cs="微软雅黑"/>
          <w:b/>
          <w:bCs/>
          <w:color w:val="32373F"/>
          <w:spacing w:val="4"/>
          <w:sz w:val="24"/>
          <w:szCs w:val="24"/>
        </w:rPr>
        <w:t>台基稳定性</w:t>
      </w:r>
    </w:p>
    <w:p w14:paraId="33BEAD29">
      <w:pPr>
        <w:pStyle w:val="2"/>
        <w:spacing w:before="182" w:line="231" w:lineRule="auto"/>
        <w:ind w:left="8" w:right="74" w:hanging="4"/>
      </w:pPr>
      <w:r>
        <w:rPr>
          <w:rFonts w:ascii="微软雅黑" w:hAnsi="微软雅黑" w:eastAsia="微软雅黑" w:cs="微软雅黑"/>
          <w:color w:val="32373F"/>
          <w:spacing w:val="5"/>
        </w:rPr>
        <w:t>高温保持阶段，主份高增益、主份低增益、备份高增益、备</w:t>
      </w:r>
      <w:r>
        <w:rPr>
          <w:rFonts w:ascii="微软雅黑" w:hAnsi="微软雅黑" w:eastAsia="微软雅黑" w:cs="微软雅黑"/>
          <w:color w:val="32373F"/>
          <w:spacing w:val="4"/>
        </w:rPr>
        <w:t xml:space="preserve">份低增益四组读出链路的全部 </w:t>
      </w:r>
      <w:r>
        <w:rPr>
          <w:color w:val="32373F"/>
          <w:spacing w:val="4"/>
        </w:rPr>
        <w:t xml:space="preserve">25 </w:t>
      </w:r>
      <w:r>
        <w:rPr>
          <w:rFonts w:ascii="微软雅黑" w:hAnsi="微软雅黑" w:eastAsia="微软雅黑" w:cs="微软雅黑"/>
          <w:color w:val="32373F"/>
          <w:spacing w:val="4"/>
        </w:rPr>
        <w:t>个晶体通道</w:t>
      </w:r>
      <w:r>
        <w:rPr>
          <w:rFonts w:ascii="微软雅黑" w:hAnsi="微软雅黑" w:eastAsia="微软雅黑" w:cs="微软雅黑"/>
          <w:color w:val="32373F"/>
          <w:spacing w:val="5"/>
        </w:rPr>
        <w:t>台基分布均呈清晰单峰结构，高斯拟合结果稳定，</w:t>
      </w:r>
      <w:r>
        <w:rPr>
          <w:rFonts w:ascii="微软雅黑" w:hAnsi="微软雅黑" w:eastAsia="微软雅黑" w:cs="微软雅黑"/>
          <w:color w:val="32373F"/>
          <w:spacing w:val="4"/>
        </w:rPr>
        <w:t xml:space="preserve">未发现失效通道。高增益链路台基拟合宽度约为 </w:t>
      </w:r>
      <w:r>
        <w:rPr>
          <w:color w:val="32373F"/>
          <w:spacing w:val="4"/>
        </w:rPr>
        <w:t>26–</w:t>
      </w:r>
      <w:r>
        <w:rPr>
          <w:color w:val="32373F"/>
        </w:rPr>
        <w:t xml:space="preserve"> </w:t>
      </w:r>
      <w:r>
        <w:rPr>
          <w:color w:val="32373F"/>
          <w:spacing w:val="3"/>
        </w:rPr>
        <w:t xml:space="preserve">31 </w:t>
      </w:r>
      <w:r>
        <w:rPr>
          <w:color w:val="32373F"/>
        </w:rPr>
        <w:t>ADC</w:t>
      </w:r>
      <w:r>
        <w:rPr>
          <w:rFonts w:ascii="微软雅黑" w:hAnsi="微软雅黑" w:eastAsia="微软雅黑" w:cs="微软雅黑"/>
          <w:color w:val="32373F"/>
          <w:spacing w:val="3"/>
        </w:rPr>
        <w:t>，低增益链路约为</w:t>
      </w:r>
      <w:r>
        <w:rPr>
          <w:rFonts w:ascii="微软雅黑" w:hAnsi="微软雅黑" w:eastAsia="微软雅黑" w:cs="微软雅黑"/>
          <w:color w:val="32373F"/>
          <w:spacing w:val="30"/>
        </w:rPr>
        <w:t xml:space="preserve"> </w:t>
      </w:r>
      <w:r>
        <w:rPr>
          <w:color w:val="32373F"/>
          <w:spacing w:val="3"/>
        </w:rPr>
        <w:t xml:space="preserve">3–4 </w:t>
      </w:r>
      <w:r>
        <w:rPr>
          <w:color w:val="32373F"/>
        </w:rPr>
        <w:t>ADC</w:t>
      </w:r>
      <w:r>
        <w:rPr>
          <w:rFonts w:ascii="微软雅黑" w:hAnsi="微软雅黑" w:eastAsia="微软雅黑" w:cs="微软雅黑"/>
          <w:color w:val="32373F"/>
          <w:spacing w:val="3"/>
        </w:rPr>
        <w:t>，与热循环实验相比高增益链路拟合宽度略有增大（约</w:t>
      </w:r>
      <w:r>
        <w:rPr>
          <w:rFonts w:ascii="微软雅黑" w:hAnsi="微软雅黑" w:eastAsia="微软雅黑" w:cs="微软雅黑"/>
          <w:color w:val="32373F"/>
          <w:spacing w:val="34"/>
        </w:rPr>
        <w:t xml:space="preserve"> </w:t>
      </w:r>
      <w:r>
        <w:rPr>
          <w:color w:val="32373F"/>
          <w:spacing w:val="3"/>
        </w:rPr>
        <w:t>1–3</w:t>
      </w:r>
    </w:p>
    <w:p w14:paraId="74444BCE">
      <w:pPr>
        <w:pStyle w:val="2"/>
        <w:spacing w:before="27" w:line="234" w:lineRule="auto"/>
        <w:rPr>
          <w:rFonts w:ascii="微软雅黑" w:hAnsi="微软雅黑" w:eastAsia="微软雅黑" w:cs="微软雅黑"/>
        </w:rPr>
      </w:pPr>
      <w:r>
        <w:rPr>
          <w:color w:val="32373F"/>
        </w:rPr>
        <w:t>ADC</w:t>
      </w:r>
      <w:r>
        <w:rPr>
          <w:rFonts w:ascii="微软雅黑" w:hAnsi="微软雅黑" w:eastAsia="微软雅黑" w:cs="微软雅黑"/>
          <w:color w:val="32373F"/>
          <w:spacing w:val="7"/>
        </w:rPr>
        <w:t>），</w:t>
      </w:r>
      <w:r>
        <w:rPr>
          <w:rFonts w:ascii="微软雅黑" w:hAnsi="微软雅黑" w:eastAsia="微软雅黑" w:cs="微软雅黑"/>
          <w:color w:val="32373F"/>
          <w:spacing w:val="5"/>
        </w:rPr>
        <w:t>与真空条件改变散热状态、前端电子学工作点偏移有关，但仍在合理范围内；低增益链路基本不受影响。在热真空全程中，四组链路台基均值均随温度剖面呈规律性周期变化，在相同温度台阶下</w:t>
      </w:r>
      <w:r>
        <w:rPr>
          <w:rFonts w:ascii="微软雅黑" w:hAnsi="微软雅黑" w:eastAsia="微软雅黑" w:cs="微软雅黑"/>
          <w:color w:val="32373F"/>
          <w:spacing w:val="4"/>
        </w:rPr>
        <w:t>可重复回归，未观测到系统性单向漂移或不可恢复的性能退化。主份与备份两端读出链路台基特性匹配</w:t>
      </w:r>
      <w:r>
        <w:rPr>
          <w:rFonts w:ascii="微软雅黑" w:hAnsi="微软雅黑" w:eastAsia="微软雅黑" w:cs="微软雅黑"/>
          <w:color w:val="32373F"/>
          <w:spacing w:val="3"/>
        </w:rPr>
        <w:t>良好，</w:t>
      </w:r>
      <w:r>
        <w:rPr>
          <w:rFonts w:ascii="微软雅黑" w:hAnsi="微软雅黑" w:eastAsia="微软雅黑" w:cs="微软雅黑"/>
          <w:color w:val="32373F"/>
          <w:spacing w:val="1"/>
        </w:rPr>
        <w:t>整体基线稳定性满足预期要求。</w:t>
      </w:r>
    </w:p>
    <w:p w14:paraId="49BB51E4">
      <w:pPr>
        <w:pStyle w:val="2"/>
        <w:spacing w:before="266" w:line="188" w:lineRule="auto"/>
        <w:ind w:left="10"/>
        <w:outlineLvl w:val="2"/>
        <w:rPr>
          <w:rFonts w:ascii="微软雅黑" w:hAnsi="微软雅黑" w:eastAsia="微软雅黑" w:cs="微软雅黑"/>
          <w:sz w:val="24"/>
          <w:szCs w:val="24"/>
        </w:rPr>
      </w:pPr>
      <w:r>
        <w:rPr>
          <w:b/>
          <w:bCs/>
          <w:color w:val="32373F"/>
          <w:spacing w:val="4"/>
          <w:sz w:val="24"/>
          <w:szCs w:val="24"/>
        </w:rPr>
        <w:t xml:space="preserve">6.3 </w:t>
      </w:r>
      <w:r>
        <w:rPr>
          <w:rFonts w:ascii="微软雅黑" w:hAnsi="微软雅黑" w:eastAsia="微软雅黑" w:cs="微软雅黑"/>
          <w:b/>
          <w:bCs/>
          <w:color w:val="32373F"/>
          <w:spacing w:val="4"/>
          <w:sz w:val="24"/>
          <w:szCs w:val="24"/>
        </w:rPr>
        <w:t>电子学刻度线性</w:t>
      </w:r>
    </w:p>
    <w:p w14:paraId="6CBE909F">
      <w:pPr>
        <w:pStyle w:val="2"/>
        <w:spacing w:before="205" w:line="216" w:lineRule="auto"/>
        <w:ind w:left="1" w:firstLine="3"/>
      </w:pPr>
      <w:r>
        <w:rPr>
          <w:rFonts w:ascii="微软雅黑" w:hAnsi="微软雅黑" w:eastAsia="微软雅黑" w:cs="微软雅黑"/>
          <w:color w:val="32373F"/>
          <w:spacing w:val="5"/>
        </w:rPr>
        <w:t>高温保持阶段，四组读出链路的电子学刻度响应均表现出良好的线性特性。高增益链路（主</w:t>
      </w:r>
      <w:r>
        <w:rPr>
          <w:rFonts w:ascii="微软雅黑" w:hAnsi="微软雅黑" w:eastAsia="微软雅黑" w:cs="微软雅黑"/>
          <w:color w:val="32373F"/>
          <w:spacing w:val="4"/>
        </w:rPr>
        <w:t>份与备份）在低偏压段线性度优良，拟合斜率约为</w:t>
      </w:r>
      <w:r>
        <w:rPr>
          <w:rFonts w:ascii="微软雅黑" w:hAnsi="微软雅黑" w:eastAsia="微软雅黑" w:cs="微软雅黑"/>
          <w:color w:val="32373F"/>
          <w:spacing w:val="22"/>
          <w:w w:val="101"/>
        </w:rPr>
        <w:t xml:space="preserve"> </w:t>
      </w:r>
      <w:r>
        <w:rPr>
          <w:color w:val="32373F"/>
          <w:spacing w:val="4"/>
        </w:rPr>
        <w:t>165–17</w:t>
      </w:r>
      <w:r>
        <w:rPr>
          <w:color w:val="32373F"/>
          <w:spacing w:val="3"/>
        </w:rPr>
        <w:t xml:space="preserve">8 </w:t>
      </w:r>
      <w:r>
        <w:rPr>
          <w:color w:val="32373F"/>
        </w:rPr>
        <w:t>ADC</w:t>
      </w:r>
      <w:r>
        <w:rPr>
          <w:color w:val="32373F"/>
          <w:spacing w:val="3"/>
        </w:rPr>
        <w:t>/</w:t>
      </w:r>
      <w:r>
        <w:rPr>
          <w:color w:val="32373F"/>
        </w:rPr>
        <w:t>mV</w:t>
      </w:r>
      <w:r>
        <w:rPr>
          <w:rFonts w:ascii="微软雅黑" w:hAnsi="微软雅黑" w:eastAsia="微软雅黑" w:cs="微软雅黑"/>
          <w:color w:val="32373F"/>
          <w:spacing w:val="3"/>
        </w:rPr>
        <w:t>，高偏压段正常饱和，饱和平台约为</w:t>
      </w:r>
      <w:r>
        <w:rPr>
          <w:rFonts w:ascii="微软雅黑" w:hAnsi="微软雅黑" w:eastAsia="微软雅黑" w:cs="微软雅黑"/>
          <w:color w:val="32373F"/>
          <w:spacing w:val="23"/>
        </w:rPr>
        <w:t xml:space="preserve"> </w:t>
      </w:r>
      <w:r>
        <w:rPr>
          <w:color w:val="32373F"/>
          <w:spacing w:val="3"/>
        </w:rPr>
        <w:t>60000–</w:t>
      </w:r>
    </w:p>
    <w:p w14:paraId="5A15BAE8">
      <w:pPr>
        <w:pStyle w:val="2"/>
        <w:spacing w:before="4" w:line="228" w:lineRule="auto"/>
        <w:ind w:left="2" w:firstLine="5"/>
        <w:rPr>
          <w:rFonts w:ascii="微软雅黑" w:hAnsi="微软雅黑" w:eastAsia="微软雅黑" w:cs="微软雅黑"/>
        </w:rPr>
      </w:pPr>
      <w:r>
        <w:rPr>
          <w:color w:val="32373F"/>
          <w:spacing w:val="4"/>
        </w:rPr>
        <w:t xml:space="preserve">65000 </w:t>
      </w:r>
      <w:r>
        <w:rPr>
          <w:color w:val="32373F"/>
        </w:rPr>
        <w:t>ADC</w:t>
      </w:r>
      <w:r>
        <w:rPr>
          <w:rFonts w:ascii="微软雅黑" w:hAnsi="微软雅黑" w:eastAsia="微软雅黑" w:cs="微软雅黑"/>
          <w:color w:val="32373F"/>
          <w:spacing w:val="4"/>
        </w:rPr>
        <w:t>；低增益链路在全偏压扫描范围内保持优良线性</w:t>
      </w:r>
      <w:r>
        <w:rPr>
          <w:rFonts w:ascii="微软雅黑" w:hAnsi="微软雅黑" w:eastAsia="微软雅黑" w:cs="微软雅黑"/>
          <w:color w:val="32373F"/>
          <w:spacing w:val="3"/>
        </w:rPr>
        <w:t>，拟合斜率约为</w:t>
      </w:r>
      <w:r>
        <w:rPr>
          <w:rFonts w:ascii="微软雅黑" w:hAnsi="微软雅黑" w:eastAsia="微软雅黑" w:cs="微软雅黑"/>
          <w:color w:val="32373F"/>
          <w:spacing w:val="39"/>
        </w:rPr>
        <w:t xml:space="preserve"> </w:t>
      </w:r>
      <w:r>
        <w:rPr>
          <w:color w:val="32373F"/>
          <w:spacing w:val="3"/>
        </w:rPr>
        <w:t xml:space="preserve">16.2–17.1 </w:t>
      </w:r>
      <w:r>
        <w:rPr>
          <w:color w:val="32373F"/>
        </w:rPr>
        <w:t>ADC</w:t>
      </w:r>
      <w:r>
        <w:rPr>
          <w:color w:val="32373F"/>
          <w:spacing w:val="3"/>
        </w:rPr>
        <w:t>/</w:t>
      </w:r>
      <w:r>
        <w:rPr>
          <w:color w:val="32373F"/>
        </w:rPr>
        <w:t>mV</w:t>
      </w:r>
      <w:r>
        <w:rPr>
          <w:rFonts w:ascii="微软雅黑" w:hAnsi="微软雅黑" w:eastAsia="微软雅黑" w:cs="微软雅黑"/>
          <w:color w:val="32373F"/>
          <w:spacing w:val="3"/>
        </w:rPr>
        <w:t>。高低增益斜率之比约为</w:t>
      </w:r>
      <w:r>
        <w:rPr>
          <w:rFonts w:ascii="微软雅黑" w:hAnsi="微软雅黑" w:eastAsia="微软雅黑" w:cs="微软雅黑"/>
          <w:color w:val="32373F"/>
          <w:spacing w:val="28"/>
        </w:rPr>
        <w:t xml:space="preserve"> </w:t>
      </w:r>
      <w:r>
        <w:rPr>
          <w:color w:val="32373F"/>
          <w:spacing w:val="3"/>
        </w:rPr>
        <w:t>10.2–10.3</w:t>
      </w:r>
      <w:r>
        <w:rPr>
          <w:rFonts w:ascii="微软雅黑" w:hAnsi="微软雅黑" w:eastAsia="微软雅黑" w:cs="微软雅黑"/>
          <w:color w:val="32373F"/>
          <w:spacing w:val="3"/>
        </w:rPr>
        <w:t>，与双增益读出约</w:t>
      </w:r>
      <w:r>
        <w:rPr>
          <w:rFonts w:ascii="微软雅黑" w:hAnsi="微软雅黑" w:eastAsia="微软雅黑" w:cs="微软雅黑"/>
          <w:color w:val="32373F"/>
          <w:spacing w:val="34"/>
        </w:rPr>
        <w:t xml:space="preserve"> </w:t>
      </w:r>
      <w:r>
        <w:rPr>
          <w:color w:val="32373F"/>
          <w:spacing w:val="3"/>
        </w:rPr>
        <w:t xml:space="preserve">10 </w:t>
      </w:r>
      <w:r>
        <w:rPr>
          <w:rFonts w:ascii="微软雅黑" w:hAnsi="微软雅黑" w:eastAsia="微软雅黑" w:cs="微软雅黑"/>
          <w:color w:val="32373F"/>
          <w:spacing w:val="3"/>
        </w:rPr>
        <w:t>倍增益比的设计目标高度吻合。各链路拟合斜率均与</w:t>
      </w:r>
      <w:r>
        <w:rPr>
          <w:rFonts w:ascii="微软雅黑" w:hAnsi="微软雅黑" w:eastAsia="微软雅黑" w:cs="微软雅黑"/>
          <w:color w:val="32373F"/>
          <w:spacing w:val="5"/>
        </w:rPr>
        <w:t>热循环实验结果高度一致，表明热真空环境引入后增益系数未发生明显偏移。各链路拟合斜率随</w:t>
      </w:r>
      <w:r>
        <w:rPr>
          <w:rFonts w:ascii="微软雅黑" w:hAnsi="微软雅黑" w:eastAsia="微软雅黑" w:cs="微软雅黑"/>
          <w:color w:val="32373F"/>
          <w:spacing w:val="4"/>
        </w:rPr>
        <w:t>热真空温</w:t>
      </w:r>
    </w:p>
    <w:p w14:paraId="4C9F5536">
      <w:pPr>
        <w:pStyle w:val="2"/>
        <w:spacing w:before="2" w:line="228" w:lineRule="auto"/>
        <w:ind w:left="1"/>
      </w:pPr>
      <w:r>
        <w:rPr>
          <w:rFonts w:ascii="微软雅黑" w:hAnsi="微软雅黑" w:eastAsia="微软雅黑" w:cs="微软雅黑"/>
          <w:color w:val="32373F"/>
          <w:spacing w:val="4"/>
        </w:rPr>
        <w:t xml:space="preserve">度剖面呈规律性周期波动，高增益链路波动幅度约为 </w:t>
      </w:r>
      <w:r>
        <w:rPr>
          <w:color w:val="32373F"/>
          <w:spacing w:val="4"/>
        </w:rPr>
        <w:t xml:space="preserve">±4–8 </w:t>
      </w:r>
      <w:r>
        <w:rPr>
          <w:color w:val="32373F"/>
        </w:rPr>
        <w:t>ADC</w:t>
      </w:r>
      <w:r>
        <w:rPr>
          <w:color w:val="32373F"/>
          <w:spacing w:val="4"/>
        </w:rPr>
        <w:t>/</w:t>
      </w:r>
      <w:r>
        <w:rPr>
          <w:color w:val="32373F"/>
        </w:rPr>
        <w:t>mV</w:t>
      </w:r>
      <w:r>
        <w:rPr>
          <w:rFonts w:ascii="微软雅黑" w:hAnsi="微软雅黑" w:eastAsia="微软雅黑" w:cs="微软雅黑"/>
          <w:color w:val="32373F"/>
          <w:spacing w:val="4"/>
        </w:rPr>
        <w:t>，低增益链路</w:t>
      </w:r>
      <w:r>
        <w:rPr>
          <w:rFonts w:ascii="微软雅黑" w:hAnsi="微软雅黑" w:eastAsia="微软雅黑" w:cs="微软雅黑"/>
          <w:color w:val="32373F"/>
          <w:spacing w:val="3"/>
        </w:rPr>
        <w:t>约为</w:t>
      </w:r>
      <w:r>
        <w:rPr>
          <w:rFonts w:ascii="微软雅黑" w:hAnsi="微软雅黑" w:eastAsia="微软雅黑" w:cs="微软雅黑"/>
          <w:color w:val="32373F"/>
          <w:spacing w:val="23"/>
          <w:w w:val="101"/>
        </w:rPr>
        <w:t xml:space="preserve"> </w:t>
      </w:r>
      <w:r>
        <w:rPr>
          <w:color w:val="32373F"/>
          <w:spacing w:val="3"/>
        </w:rPr>
        <w:t>±0.5–1.0</w:t>
      </w:r>
    </w:p>
    <w:p w14:paraId="0D654FC9">
      <w:pPr>
        <w:pStyle w:val="2"/>
        <w:spacing w:before="2" w:line="238" w:lineRule="auto"/>
        <w:ind w:left="3" w:right="99" w:hanging="3"/>
        <w:rPr>
          <w:rFonts w:ascii="微软雅黑" w:hAnsi="微软雅黑" w:eastAsia="微软雅黑" w:cs="微软雅黑"/>
        </w:rPr>
      </w:pPr>
      <w:r>
        <w:rPr>
          <w:color w:val="32373F"/>
        </w:rPr>
        <w:t>ADC</w:t>
      </w:r>
      <w:r>
        <w:rPr>
          <w:color w:val="32373F"/>
          <w:spacing w:val="5"/>
        </w:rPr>
        <w:t>/</w:t>
      </w:r>
      <w:r>
        <w:rPr>
          <w:color w:val="32373F"/>
        </w:rPr>
        <w:t>mV</w:t>
      </w:r>
      <w:r>
        <w:rPr>
          <w:rFonts w:ascii="微软雅黑" w:hAnsi="微软雅黑" w:eastAsia="微软雅黑" w:cs="微软雅黑"/>
          <w:color w:val="32373F"/>
          <w:spacing w:val="5"/>
        </w:rPr>
        <w:t xml:space="preserve">，均具有良好的可重复性，无系统性单向漂移。主备份两端增益一致性良好，全部 </w:t>
      </w:r>
      <w:r>
        <w:rPr>
          <w:color w:val="32373F"/>
          <w:spacing w:val="5"/>
        </w:rPr>
        <w:t xml:space="preserve">25 </w:t>
      </w:r>
      <w:r>
        <w:rPr>
          <w:rFonts w:ascii="微软雅黑" w:hAnsi="微软雅黑" w:eastAsia="微软雅黑" w:cs="微软雅黑"/>
          <w:color w:val="32373F"/>
          <w:spacing w:val="5"/>
        </w:rPr>
        <w:t>个</w:t>
      </w:r>
      <w:r>
        <w:rPr>
          <w:rFonts w:ascii="微软雅黑" w:hAnsi="微软雅黑" w:eastAsia="微软雅黑" w:cs="微软雅黑"/>
          <w:color w:val="32373F"/>
          <w:spacing w:val="4"/>
        </w:rPr>
        <w:t>晶体通</w:t>
      </w:r>
      <w:r>
        <w:rPr>
          <w:rFonts w:ascii="微软雅黑" w:hAnsi="微软雅黑" w:eastAsia="微软雅黑" w:cs="微软雅黑"/>
          <w:color w:val="32373F"/>
          <w:spacing w:val="2"/>
        </w:rPr>
        <w:t>道未发现增益异常或线性度劣化现象。</w:t>
      </w:r>
    </w:p>
    <w:p w14:paraId="3149F2DA">
      <w:pPr>
        <w:pStyle w:val="2"/>
        <w:spacing w:before="323" w:line="187" w:lineRule="auto"/>
        <w:ind w:left="10"/>
        <w:outlineLvl w:val="2"/>
        <w:rPr>
          <w:rFonts w:ascii="微软雅黑" w:hAnsi="微软雅黑" w:eastAsia="微软雅黑" w:cs="微软雅黑"/>
          <w:sz w:val="24"/>
          <w:szCs w:val="24"/>
        </w:rPr>
      </w:pPr>
      <w:r>
        <w:rPr>
          <w:b/>
          <w:bCs/>
          <w:color w:val="32373F"/>
          <w:spacing w:val="6"/>
          <w:sz w:val="24"/>
          <w:szCs w:val="24"/>
        </w:rPr>
        <w:t xml:space="preserve">6.4 </w:t>
      </w:r>
      <w:r>
        <w:rPr>
          <w:rFonts w:ascii="微软雅黑" w:hAnsi="微软雅黑" w:eastAsia="微软雅黑" w:cs="微软雅黑"/>
          <w:b/>
          <w:bCs/>
          <w:color w:val="32373F"/>
          <w:spacing w:val="6"/>
          <w:sz w:val="24"/>
          <w:szCs w:val="24"/>
        </w:rPr>
        <w:t>宇宙线最小电离粒子</w:t>
      </w:r>
      <w:r>
        <w:rPr>
          <w:b/>
          <w:bCs/>
          <w:color w:val="32373F"/>
          <w:sz w:val="24"/>
          <w:szCs w:val="24"/>
        </w:rPr>
        <w:t>MIP</w:t>
      </w:r>
      <w:r>
        <w:rPr>
          <w:rFonts w:ascii="微软雅黑" w:hAnsi="微软雅黑" w:eastAsia="微软雅黑" w:cs="微软雅黑"/>
          <w:b/>
          <w:bCs/>
          <w:color w:val="32373F"/>
          <w:spacing w:val="6"/>
          <w:sz w:val="24"/>
          <w:szCs w:val="24"/>
        </w:rPr>
        <w:t>响应</w:t>
      </w:r>
    </w:p>
    <w:p w14:paraId="78B273CF">
      <w:pPr>
        <w:pStyle w:val="2"/>
        <w:spacing w:before="168" w:line="235" w:lineRule="auto"/>
        <w:ind w:left="2" w:right="39" w:firstLine="2"/>
        <w:rPr>
          <w:rFonts w:ascii="微软雅黑" w:hAnsi="微软雅黑" w:eastAsia="微软雅黑" w:cs="微软雅黑"/>
        </w:rPr>
      </w:pPr>
      <w:r>
        <w:rPr>
          <w:rFonts w:ascii="微软雅黑" w:hAnsi="微软雅黑" w:eastAsia="微软雅黑" w:cs="微软雅黑"/>
          <w:color w:val="32373F"/>
          <w:spacing w:val="4"/>
        </w:rPr>
        <w:t xml:space="preserve">高温保持阶段，主份与备份高增益读出链路中心区域 </w:t>
      </w:r>
      <w:r>
        <w:rPr>
          <w:color w:val="32373F"/>
          <w:spacing w:val="4"/>
        </w:rPr>
        <w:t xml:space="preserve">9 </w:t>
      </w:r>
      <w:r>
        <w:rPr>
          <w:rFonts w:ascii="微软雅黑" w:hAnsi="微软雅黑" w:eastAsia="微软雅黑" w:cs="微软雅黑"/>
          <w:color w:val="32373F"/>
          <w:spacing w:val="4"/>
        </w:rPr>
        <w:t>个晶体通道（第</w:t>
      </w:r>
      <w:r>
        <w:rPr>
          <w:color w:val="32373F"/>
          <w:spacing w:val="4"/>
        </w:rPr>
        <w:t>6–8</w:t>
      </w:r>
      <w:r>
        <w:rPr>
          <w:rFonts w:ascii="微软雅黑" w:hAnsi="微软雅黑" w:eastAsia="微软雅黑" w:cs="微软雅黑"/>
          <w:color w:val="32373F"/>
          <w:spacing w:val="4"/>
        </w:rPr>
        <w:t>、</w:t>
      </w:r>
      <w:r>
        <w:rPr>
          <w:rFonts w:ascii="微软雅黑" w:hAnsi="微软雅黑" w:eastAsia="微软雅黑" w:cs="微软雅黑"/>
          <w:color w:val="32373F"/>
          <w:spacing w:val="-35"/>
        </w:rPr>
        <w:t xml:space="preserve"> </w:t>
      </w:r>
      <w:r>
        <w:rPr>
          <w:color w:val="32373F"/>
          <w:spacing w:val="4"/>
        </w:rPr>
        <w:t>11–13</w:t>
      </w:r>
      <w:r>
        <w:rPr>
          <w:rFonts w:ascii="微软雅黑" w:hAnsi="微软雅黑" w:eastAsia="微软雅黑" w:cs="微软雅黑"/>
          <w:color w:val="32373F"/>
          <w:spacing w:val="3"/>
        </w:rPr>
        <w:t>、</w:t>
      </w:r>
      <w:r>
        <w:rPr>
          <w:rFonts w:ascii="微软雅黑" w:hAnsi="微软雅黑" w:eastAsia="微软雅黑" w:cs="微软雅黑"/>
          <w:color w:val="32373F"/>
          <w:spacing w:val="-35"/>
        </w:rPr>
        <w:t xml:space="preserve"> </w:t>
      </w:r>
      <w:r>
        <w:rPr>
          <w:color w:val="32373F"/>
          <w:spacing w:val="3"/>
        </w:rPr>
        <w:t xml:space="preserve">16–18 </w:t>
      </w:r>
      <w:r>
        <w:rPr>
          <w:rFonts w:ascii="微软雅黑" w:hAnsi="微软雅黑" w:eastAsia="微软雅黑" w:cs="微软雅黑"/>
          <w:color w:val="32373F"/>
          <w:spacing w:val="3"/>
        </w:rPr>
        <w:t xml:space="preserve">号）均可提取到有效的宇宙线 </w:t>
      </w:r>
      <w:r>
        <w:rPr>
          <w:color w:val="32373F"/>
        </w:rPr>
        <w:t>MIP</w:t>
      </w:r>
      <w:r>
        <w:rPr>
          <w:color w:val="32373F"/>
          <w:spacing w:val="3"/>
        </w:rPr>
        <w:t xml:space="preserve"> </w:t>
      </w:r>
      <w:r>
        <w:rPr>
          <w:rFonts w:ascii="微软雅黑" w:hAnsi="微软雅黑" w:eastAsia="微软雅黑" w:cs="微软雅黑"/>
          <w:color w:val="32373F"/>
          <w:spacing w:val="3"/>
        </w:rPr>
        <w:t>峰位，</w:t>
      </w:r>
      <w:r>
        <w:rPr>
          <w:rFonts w:ascii="微软雅黑" w:hAnsi="微软雅黑" w:eastAsia="微软雅黑" w:cs="微软雅黑"/>
          <w:color w:val="32373F"/>
          <w:spacing w:val="-45"/>
        </w:rPr>
        <w:t xml:space="preserve"> </w:t>
      </w:r>
      <w:r>
        <w:rPr>
          <w:color w:val="32373F"/>
        </w:rPr>
        <w:t>MPV</w:t>
      </w:r>
      <w:r>
        <w:rPr>
          <w:color w:val="32373F"/>
          <w:spacing w:val="3"/>
        </w:rPr>
        <w:t xml:space="preserve"> </w:t>
      </w:r>
      <w:r>
        <w:rPr>
          <w:rFonts w:ascii="微软雅黑" w:hAnsi="微软雅黑" w:eastAsia="微软雅黑" w:cs="微软雅黑"/>
          <w:color w:val="32373F"/>
          <w:spacing w:val="3"/>
        </w:rPr>
        <w:t xml:space="preserve">分布在约 </w:t>
      </w:r>
      <w:r>
        <w:rPr>
          <w:color w:val="32373F"/>
          <w:spacing w:val="3"/>
        </w:rPr>
        <w:t xml:space="preserve">5581–6720 </w:t>
      </w:r>
      <w:r>
        <w:rPr>
          <w:color w:val="32373F"/>
        </w:rPr>
        <w:t>ADC</w:t>
      </w:r>
      <w:r>
        <w:rPr>
          <w:rFonts w:ascii="微软雅黑" w:hAnsi="微软雅黑" w:eastAsia="微软雅黑" w:cs="微软雅黑"/>
          <w:color w:val="32373F"/>
          <w:spacing w:val="3"/>
        </w:rPr>
        <w:t>（主份）和</w:t>
      </w:r>
      <w:r>
        <w:rPr>
          <w:rFonts w:ascii="微软雅黑" w:hAnsi="微软雅黑" w:eastAsia="微软雅黑" w:cs="微软雅黑"/>
          <w:color w:val="32373F"/>
          <w:spacing w:val="20"/>
        </w:rPr>
        <w:t xml:space="preserve"> </w:t>
      </w:r>
      <w:r>
        <w:rPr>
          <w:color w:val="32373F"/>
          <w:spacing w:val="3"/>
        </w:rPr>
        <w:t>5775–660</w:t>
      </w:r>
      <w:r>
        <w:rPr>
          <w:color w:val="32373F"/>
          <w:spacing w:val="2"/>
        </w:rPr>
        <w:t xml:space="preserve">4 </w:t>
      </w:r>
      <w:r>
        <w:rPr>
          <w:color w:val="32373F"/>
        </w:rPr>
        <w:t>ADC</w:t>
      </w:r>
      <w:r>
        <w:rPr>
          <w:color w:val="32373F"/>
          <w:spacing w:val="-38"/>
        </w:rPr>
        <w:t xml:space="preserve"> </w:t>
      </w:r>
      <w:r>
        <w:rPr>
          <w:rFonts w:ascii="微软雅黑" w:hAnsi="微软雅黑" w:eastAsia="微软雅黑" w:cs="微软雅黑"/>
          <w:color w:val="32373F"/>
          <w:spacing w:val="2"/>
        </w:rPr>
        <w:t>（备份）之</w:t>
      </w:r>
      <w:r>
        <w:rPr>
          <w:rFonts w:ascii="微软雅黑" w:hAnsi="微软雅黑" w:eastAsia="微软雅黑" w:cs="微软雅黑"/>
          <w:color w:val="32373F"/>
          <w:spacing w:val="5"/>
        </w:rPr>
        <w:t xml:space="preserve">间，谱形质量良好，主备份两端峰位高度吻合。在热真空全程中，中心晶体 </w:t>
      </w:r>
      <w:r>
        <w:rPr>
          <w:color w:val="32373F"/>
        </w:rPr>
        <w:t>MPV</w:t>
      </w:r>
      <w:r>
        <w:rPr>
          <w:color w:val="32373F"/>
          <w:spacing w:val="5"/>
        </w:rPr>
        <w:t xml:space="preserve"> </w:t>
      </w:r>
      <w:r>
        <w:rPr>
          <w:rFonts w:ascii="微软雅黑" w:hAnsi="微软雅黑" w:eastAsia="微软雅黑" w:cs="微软雅黑"/>
          <w:color w:val="32373F"/>
          <w:spacing w:val="5"/>
        </w:rPr>
        <w:t>峰位随温度剖</w:t>
      </w:r>
      <w:r>
        <w:rPr>
          <w:rFonts w:ascii="微软雅黑" w:hAnsi="微软雅黑" w:eastAsia="微软雅黑" w:cs="微软雅黑"/>
          <w:color w:val="32373F"/>
          <w:spacing w:val="4"/>
        </w:rPr>
        <w:t xml:space="preserve">面呈现显著的周期性振荡，振荡幅度约为 </w:t>
      </w:r>
      <w:r>
        <w:rPr>
          <w:color w:val="32373F"/>
          <w:spacing w:val="4"/>
        </w:rPr>
        <w:t xml:space="preserve">5000–20000 </w:t>
      </w:r>
      <w:r>
        <w:rPr>
          <w:color w:val="32373F"/>
        </w:rPr>
        <w:t>ADC</w:t>
      </w:r>
      <w:r>
        <w:rPr>
          <w:rFonts w:ascii="微软雅黑" w:hAnsi="微软雅黑" w:eastAsia="微软雅黑" w:cs="微软雅黑"/>
          <w:color w:val="32373F"/>
          <w:spacing w:val="4"/>
        </w:rPr>
        <w:t>，低温台阶峰位明显升高，高温台阶回归，反映了</w:t>
      </w:r>
    </w:p>
    <w:p w14:paraId="0855EDBF">
      <w:pPr>
        <w:pStyle w:val="2"/>
        <w:spacing w:before="1" w:line="234" w:lineRule="auto"/>
        <w:ind w:left="3" w:firstLine="7"/>
        <w:rPr>
          <w:rFonts w:ascii="微软雅黑" w:hAnsi="微软雅黑" w:eastAsia="微软雅黑" w:cs="微软雅黑"/>
        </w:rPr>
      </w:pPr>
      <w:r>
        <w:rPr>
          <w:color w:val="32373F"/>
        </w:rPr>
        <w:t>CsI</w:t>
      </w:r>
      <w:r>
        <w:rPr>
          <w:color w:val="32373F"/>
          <w:spacing w:val="4"/>
        </w:rPr>
        <w:t>(</w:t>
      </w:r>
      <w:r>
        <w:rPr>
          <w:color w:val="32373F"/>
        </w:rPr>
        <w:t>Tl</w:t>
      </w:r>
      <w:r>
        <w:rPr>
          <w:color w:val="32373F"/>
          <w:spacing w:val="4"/>
        </w:rPr>
        <w:t xml:space="preserve">) </w:t>
      </w:r>
      <w:r>
        <w:rPr>
          <w:rFonts w:ascii="微软雅黑" w:hAnsi="微软雅黑" w:eastAsia="微软雅黑" w:cs="微软雅黑"/>
          <w:color w:val="32373F"/>
          <w:spacing w:val="4"/>
        </w:rPr>
        <w:t xml:space="preserve">晶体发光效率与 </w:t>
      </w:r>
      <w:r>
        <w:rPr>
          <w:color w:val="32373F"/>
        </w:rPr>
        <w:t>APD</w:t>
      </w:r>
      <w:r>
        <w:rPr>
          <w:color w:val="32373F"/>
          <w:spacing w:val="4"/>
        </w:rPr>
        <w:t xml:space="preserve"> </w:t>
      </w:r>
      <w:r>
        <w:rPr>
          <w:rFonts w:ascii="微软雅黑" w:hAnsi="微软雅黑" w:eastAsia="微软雅黑" w:cs="微软雅黑"/>
          <w:color w:val="32373F"/>
          <w:spacing w:val="4"/>
        </w:rPr>
        <w:t>增益的温度依赖性；与热循环实验相比，热</w:t>
      </w:r>
      <w:r>
        <w:rPr>
          <w:rFonts w:ascii="微软雅黑" w:hAnsi="微软雅黑" w:eastAsia="微软雅黑" w:cs="微软雅黑"/>
          <w:color w:val="32373F"/>
          <w:spacing w:val="3"/>
        </w:rPr>
        <w:t>真空环境下振荡幅度有所增大，</w:t>
      </w:r>
      <w:r>
        <w:rPr>
          <w:rFonts w:ascii="微软雅黑" w:hAnsi="微软雅黑" w:eastAsia="微软雅黑" w:cs="微软雅黑"/>
          <w:color w:val="32373F"/>
          <w:spacing w:val="5"/>
        </w:rPr>
        <w:t>与真空条件改变散热路径、低温台阶晶体实际温度更低有关，属预期内的环境差异响应。在相</w:t>
      </w:r>
      <w:r>
        <w:rPr>
          <w:rFonts w:ascii="微软雅黑" w:hAnsi="微软雅黑" w:eastAsia="微软雅黑" w:cs="微软雅黑"/>
          <w:color w:val="32373F"/>
          <w:spacing w:val="4"/>
        </w:rPr>
        <w:t>同温度台阶下各晶体峰位回归水平高度一致，具有良好的可逆性，全程未观测到不</w:t>
      </w:r>
      <w:r>
        <w:rPr>
          <w:rFonts w:ascii="微软雅黑" w:hAnsi="微软雅黑" w:eastAsia="微软雅黑" w:cs="微软雅黑"/>
          <w:color w:val="32373F"/>
          <w:spacing w:val="3"/>
        </w:rPr>
        <w:t>可逆的性能退化现象。</w:t>
      </w:r>
    </w:p>
    <w:p w14:paraId="23E33112">
      <w:pPr>
        <w:pStyle w:val="2"/>
        <w:spacing w:before="273" w:line="187" w:lineRule="auto"/>
        <w:ind w:left="10"/>
        <w:outlineLvl w:val="2"/>
        <w:rPr>
          <w:rFonts w:ascii="微软雅黑" w:hAnsi="微软雅黑" w:eastAsia="微软雅黑" w:cs="微软雅黑"/>
          <w:sz w:val="24"/>
          <w:szCs w:val="24"/>
        </w:rPr>
      </w:pPr>
      <w:r>
        <w:rPr>
          <w:b/>
          <w:bCs/>
          <w:color w:val="32373F"/>
          <w:spacing w:val="4"/>
          <w:sz w:val="24"/>
          <w:szCs w:val="24"/>
        </w:rPr>
        <w:t xml:space="preserve">6.5 </w:t>
      </w:r>
      <w:r>
        <w:rPr>
          <w:rFonts w:ascii="微软雅黑" w:hAnsi="微软雅黑" w:eastAsia="微软雅黑" w:cs="微软雅黑"/>
          <w:b/>
          <w:bCs/>
          <w:color w:val="32373F"/>
          <w:spacing w:val="4"/>
          <w:sz w:val="24"/>
          <w:szCs w:val="24"/>
        </w:rPr>
        <w:t>综合评价</w:t>
      </w:r>
    </w:p>
    <w:p w14:paraId="298E0EDE">
      <w:pPr>
        <w:pStyle w:val="2"/>
        <w:spacing w:before="222" w:line="234" w:lineRule="auto"/>
        <w:rPr>
          <w:rFonts w:ascii="微软雅黑" w:hAnsi="微软雅黑" w:eastAsia="微软雅黑" w:cs="微软雅黑"/>
        </w:rPr>
      </w:pPr>
      <w:r>
        <w:rPr>
          <w:color w:val="32373F"/>
        </w:rPr>
        <w:t>VLAST</w:t>
      </w:r>
      <w:r>
        <w:rPr>
          <w:color w:val="32373F"/>
          <w:spacing w:val="5"/>
        </w:rPr>
        <w:t xml:space="preserve">-P </w:t>
      </w:r>
      <w:r>
        <w:rPr>
          <w:rFonts w:ascii="微软雅黑" w:hAnsi="微软雅黑" w:eastAsia="微软雅黑" w:cs="微软雅黑"/>
          <w:color w:val="32373F"/>
          <w:spacing w:val="5"/>
        </w:rPr>
        <w:t>电磁量能器在热真空试验全程中，遥测工作状态持续正常，电子学</w:t>
      </w:r>
      <w:r>
        <w:rPr>
          <w:rFonts w:ascii="微软雅黑" w:hAnsi="微软雅黑" w:eastAsia="微软雅黑" w:cs="微软雅黑"/>
          <w:color w:val="32373F"/>
          <w:spacing w:val="4"/>
        </w:rPr>
        <w:t>台基稳定，刻度线性特性良</w:t>
      </w:r>
      <w:r>
        <w:rPr>
          <w:rFonts w:ascii="微软雅黑" w:hAnsi="微软雅黑" w:eastAsia="微软雅黑" w:cs="微软雅黑"/>
          <w:color w:val="32373F"/>
          <w:spacing w:val="5"/>
        </w:rPr>
        <w:t xml:space="preserve">好，宇宙线 </w:t>
      </w:r>
      <w:r>
        <w:rPr>
          <w:color w:val="32373F"/>
        </w:rPr>
        <w:t>MIP</w:t>
      </w:r>
      <w:r>
        <w:rPr>
          <w:color w:val="32373F"/>
          <w:spacing w:val="5"/>
        </w:rPr>
        <w:t xml:space="preserve"> </w:t>
      </w:r>
      <w:r>
        <w:rPr>
          <w:rFonts w:ascii="微软雅黑" w:hAnsi="微软雅黑" w:eastAsia="微软雅黑" w:cs="微软雅黑"/>
          <w:color w:val="32373F"/>
          <w:spacing w:val="5"/>
        </w:rPr>
        <w:t>响应具有温度相关性但可重复恢复，未观测到任何系统性性能退化</w:t>
      </w:r>
      <w:r>
        <w:rPr>
          <w:rFonts w:ascii="微软雅黑" w:hAnsi="微软雅黑" w:eastAsia="微软雅黑" w:cs="微软雅黑"/>
          <w:color w:val="32373F"/>
          <w:spacing w:val="4"/>
        </w:rPr>
        <w:t>或不可恢复的通道失</w:t>
      </w:r>
      <w:r>
        <w:rPr>
          <w:rFonts w:ascii="微软雅黑" w:hAnsi="微软雅黑" w:eastAsia="微软雅黑" w:cs="微软雅黑"/>
          <w:color w:val="32373F"/>
          <w:spacing w:val="5"/>
        </w:rPr>
        <w:t>效现象。与热循环实验结果对比，热真空环境引入后各项参数的变化幅度略有增大，但整体规律一</w:t>
      </w:r>
      <w:r>
        <w:rPr>
          <w:rFonts w:ascii="微软雅黑" w:hAnsi="微软雅黑" w:eastAsia="微软雅黑" w:cs="微软雅黑"/>
          <w:color w:val="32373F"/>
          <w:spacing w:val="4"/>
        </w:rPr>
        <w:t>致，均</w:t>
      </w:r>
      <w:r>
        <w:rPr>
          <w:rFonts w:ascii="微软雅黑" w:hAnsi="微软雅黑" w:eastAsia="微软雅黑" w:cs="微软雅黑"/>
          <w:color w:val="32373F"/>
          <w:spacing w:val="-1"/>
        </w:rPr>
        <w:t>在合理范围之内。</w:t>
      </w:r>
    </w:p>
    <w:p w14:paraId="7F1554A4">
      <w:pPr>
        <w:pStyle w:val="2"/>
        <w:spacing w:before="267" w:line="187" w:lineRule="auto"/>
        <w:ind w:left="4"/>
        <w:rPr>
          <w:rFonts w:ascii="微软雅黑" w:hAnsi="微软雅黑" w:eastAsia="微软雅黑" w:cs="微软雅黑"/>
        </w:rPr>
      </w:pPr>
      <w:r>
        <w:rPr>
          <w:rFonts w:ascii="微软雅黑" w:hAnsi="微软雅黑" w:eastAsia="微软雅黑" w:cs="微软雅黑"/>
          <w:color w:val="32373F"/>
          <w:spacing w:val="3"/>
        </w:rPr>
        <w:t xml:space="preserve">综合以上各项分析结果， </w:t>
      </w:r>
      <w:r>
        <w:rPr>
          <w:b/>
          <w:bCs/>
          <w:color w:val="32373F"/>
        </w:rPr>
        <w:t>Calo</w:t>
      </w:r>
      <w:r>
        <w:rPr>
          <w:b/>
          <w:bCs/>
          <w:color w:val="32373F"/>
          <w:spacing w:val="3"/>
        </w:rPr>
        <w:t xml:space="preserve"> </w:t>
      </w:r>
      <w:r>
        <w:rPr>
          <w:rFonts w:ascii="微软雅黑" w:hAnsi="微软雅黑" w:eastAsia="微软雅黑" w:cs="微软雅黑"/>
          <w:b/>
          <w:bCs/>
          <w:color w:val="32373F"/>
          <w:spacing w:val="3"/>
        </w:rPr>
        <w:t>载荷的热真空试验考核结果满足正样验收级试验要求</w:t>
      </w:r>
      <w:r>
        <w:rPr>
          <w:rFonts w:ascii="微软雅黑" w:hAnsi="微软雅黑" w:eastAsia="微软雅黑" w:cs="微软雅黑"/>
          <w:color w:val="32373F"/>
          <w:spacing w:val="3"/>
        </w:rPr>
        <w:t>。</w:t>
      </w:r>
    </w:p>
    <w:sectPr>
      <w:pgSz w:w="11919" w:h="16858"/>
      <w:pgMar w:top="400" w:right="783" w:bottom="0" w:left="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08FE7">
    <w:pPr>
      <w:jc w:val="center"/>
    </w:pPr>
  </w:p>
  <w:tbl>
    <w:tblPr>
      <w:tblStyle w:val="6"/>
      <w:tblW w:w="10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219"/>
      <w:gridCol w:w="1220"/>
      <w:gridCol w:w="1219"/>
      <w:gridCol w:w="1220"/>
      <w:gridCol w:w="1219"/>
      <w:gridCol w:w="1078"/>
      <w:gridCol w:w="1418"/>
    </w:tblGrid>
    <w:tr w14:paraId="3867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restart"/>
          <w:tcBorders>
            <w:top w:val="single" w:color="auto" w:sz="18" w:space="0"/>
            <w:left w:val="single" w:color="auto" w:sz="18" w:space="0"/>
            <w:bottom w:val="single" w:color="auto" w:sz="18" w:space="0"/>
            <w:right w:val="single" w:color="auto" w:sz="18" w:space="0"/>
          </w:tcBorders>
          <w:vAlign w:val="center"/>
        </w:tcPr>
        <w:p w14:paraId="712D0F62">
          <w:pPr>
            <w:jc w:val="center"/>
            <w:rPr>
              <w:rFonts w:hint="eastAsia"/>
            </w:rPr>
          </w:pPr>
          <w:r>
            <w:drawing>
              <wp:inline distT="0" distB="0" distL="0" distR="0">
                <wp:extent cx="775970" cy="775970"/>
                <wp:effectExtent l="0" t="0" r="127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inline>
            </w:drawing>
          </w:r>
        </w:p>
      </w:tc>
      <w:tc>
        <w:tcPr>
          <w:tcW w:w="7175" w:type="dxa"/>
          <w:gridSpan w:val="6"/>
          <w:tcBorders>
            <w:top w:val="single" w:color="auto" w:sz="18" w:space="0"/>
            <w:left w:val="single" w:color="auto" w:sz="18" w:space="0"/>
            <w:right w:val="single" w:color="auto" w:sz="18" w:space="0"/>
          </w:tcBorders>
          <w:vAlign w:val="center"/>
        </w:tcPr>
        <w:p w14:paraId="49E93FD4">
          <w:pPr>
            <w:jc w:val="center"/>
            <w:rPr>
              <w:rFonts w:hint="eastAsia" w:ascii="宋体" w:hAnsi="宋体" w:eastAsia="宋体"/>
            </w:rPr>
          </w:pPr>
          <w:sdt>
            <w:sdtPr>
              <w:rPr>
                <w:rFonts w:ascii="宋体" w:hAnsi="宋体" w:eastAsia="宋体"/>
              </w:rPr>
              <w:alias w:val="标题"/>
              <w:id w:val="443892894"/>
              <w:placeholder>
                <w:docPart w:val="{08c33c6a-f2ba-479c-9275-0fbeb6bea3f5}"/>
              </w:placeholder>
              <w:dataBinding w:prefixMappings="xmlns:ns0='http://purl.org/dc/elements/1.1/' xmlns:ns1='http://schemas.openxmlformats.org/package/2006/metadata/core-properties' " w:xpath="/ns1:coreProperties[1]/ns0:title[1]" w:storeItemID="{6C3C8BC8-F283-45AE-878A-BAB7291924A1}"/>
              <w:text/>
            </w:sdtPr>
            <w:sdtEndPr>
              <w:rPr>
                <w:rFonts w:ascii="宋体" w:hAnsi="宋体" w:eastAsia="宋体"/>
              </w:rPr>
            </w:sdtEndPr>
            <w:sdtContent>
              <w:r>
                <w:rPr>
                  <w:rFonts w:ascii="宋体" w:hAnsi="宋体" w:eastAsia="宋体"/>
                </w:rPr>
                <w:t>“探路者一号”技术试验卫星工程A星</w:t>
              </w:r>
            </w:sdtContent>
          </w:sdt>
        </w:p>
        <w:p w14:paraId="68B40E92">
          <w:pPr>
            <w:jc w:val="center"/>
            <w:rPr>
              <w:rFonts w:hint="eastAsia" w:ascii="宋体" w:hAnsi="宋体" w:eastAsia="宋体"/>
            </w:rPr>
          </w:pPr>
          <w:sdt>
            <w:sdtPr>
              <w:rPr>
                <w:rFonts w:ascii="宋体" w:hAnsi="宋体" w:eastAsia="宋体"/>
              </w:rPr>
              <w:alias w:val="主题"/>
              <w:id w:val="847294939"/>
              <w:dataBinding w:prefixMappings="xmlns:ns0='http://purl.org/dc/elements/1.1/' xmlns:ns1='http://schemas.openxmlformats.org/package/2006/metadata/core-properties' " w:xpath="/ns1:coreProperties[1]/ns0:subject[1]" w:storeItemID="{6C3C8BC8-F283-45AE-878A-BAB7291924A1}"/>
              <w:text/>
            </w:sdtPr>
            <w:sdtEndPr>
              <w:rPr>
                <w:rFonts w:ascii="宋体" w:hAnsi="宋体" w:eastAsia="宋体"/>
              </w:rPr>
            </w:sdtEndPr>
            <w:sdtContent>
              <w:r>
                <w:rPr>
                  <w:rFonts w:ascii="宋体" w:hAnsi="宋体" w:eastAsia="宋体"/>
                </w:rPr>
                <w:t>VLAST探路者载荷正样</w:t>
              </w:r>
              <w:r>
                <w:rPr>
                  <w:rFonts w:hint="eastAsia" w:ascii="宋体" w:hAnsi="宋体" w:eastAsia="宋体"/>
                </w:rPr>
                <w:t>定标报告</w:t>
              </w:r>
            </w:sdtContent>
          </w:sdt>
        </w:p>
      </w:tc>
      <w:tc>
        <w:tcPr>
          <w:tcW w:w="1418" w:type="dxa"/>
          <w:vMerge w:val="restart"/>
          <w:tcBorders>
            <w:top w:val="single" w:color="auto" w:sz="18" w:space="0"/>
            <w:left w:val="single" w:color="auto" w:sz="18" w:space="0"/>
            <w:bottom w:val="single" w:color="auto" w:sz="18" w:space="0"/>
            <w:right w:val="single" w:color="auto" w:sz="18" w:space="0"/>
          </w:tcBorders>
          <w:vAlign w:val="center"/>
        </w:tcPr>
        <w:p w14:paraId="5E9FED80">
          <w:pPr>
            <w:jc w:val="center"/>
            <w:rPr>
              <w:rFonts w:ascii="Times New Roman" w:hAnsi="Times New Roman" w:cs="Times New Roman"/>
              <w:sz w:val="32"/>
              <w:szCs w:val="32"/>
            </w:rPr>
          </w:pPr>
          <w:r>
            <w:rPr>
              <w:rFonts w:hint="eastAsia" w:ascii="Times New Roman" w:hAnsi="Times New Roman" w:cs="Times New Roman"/>
              <w:sz w:val="32"/>
              <w:szCs w:val="32"/>
            </w:rPr>
            <w:t>KX-12A</w:t>
          </w:r>
        </w:p>
      </w:tc>
    </w:tr>
    <w:tr w14:paraId="00A5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tcBorders>
            <w:left w:val="single" w:color="auto" w:sz="18" w:space="0"/>
            <w:bottom w:val="single" w:color="auto" w:sz="18" w:space="0"/>
            <w:right w:val="single" w:color="auto" w:sz="18" w:space="0"/>
          </w:tcBorders>
          <w:vAlign w:val="center"/>
        </w:tcPr>
        <w:p w14:paraId="6876ACC4">
          <w:pPr>
            <w:jc w:val="center"/>
            <w:rPr>
              <w:rFonts w:hint="eastAsia"/>
            </w:rPr>
          </w:pPr>
        </w:p>
      </w:tc>
      <w:tc>
        <w:tcPr>
          <w:tcW w:w="1219" w:type="dxa"/>
          <w:tcBorders>
            <w:left w:val="single" w:color="auto" w:sz="18" w:space="0"/>
          </w:tcBorders>
          <w:vAlign w:val="center"/>
        </w:tcPr>
        <w:p w14:paraId="2BCEC574">
          <w:pPr>
            <w:jc w:val="center"/>
            <w:rPr>
              <w:rFonts w:hint="eastAsia" w:ascii="黑体" w:hAnsi="黑体" w:eastAsia="黑体"/>
            </w:rPr>
          </w:pPr>
          <w:r>
            <w:rPr>
              <w:rFonts w:hint="eastAsia" w:ascii="黑体" w:hAnsi="黑体" w:eastAsia="黑体"/>
            </w:rPr>
            <w:t>文件编号</w:t>
          </w:r>
        </w:p>
      </w:tc>
      <w:tc>
        <w:tcPr>
          <w:tcW w:w="3659" w:type="dxa"/>
          <w:gridSpan w:val="3"/>
          <w:vAlign w:val="center"/>
        </w:tcPr>
        <w:p w14:paraId="3679BC59">
          <w:pPr>
            <w:jc w:val="center"/>
            <w:rPr>
              <w:rFonts w:hint="eastAsia" w:ascii="宋体" w:hAnsi="宋体" w:eastAsia="宋体"/>
            </w:rPr>
          </w:pPr>
          <w:r>
            <w:rPr>
              <w:rFonts w:hint="eastAsia" w:ascii="宋体" w:hAnsi="宋体" w:eastAsia="宋体"/>
            </w:rPr>
            <w:t>KX-12A-ZV00-</w:t>
          </w:r>
        </w:p>
      </w:tc>
      <w:tc>
        <w:tcPr>
          <w:tcW w:w="1219" w:type="dxa"/>
          <w:vAlign w:val="center"/>
        </w:tcPr>
        <w:p w14:paraId="773B6790">
          <w:pPr>
            <w:jc w:val="center"/>
            <w:rPr>
              <w:rFonts w:hint="eastAsia" w:ascii="黑体" w:hAnsi="黑体" w:eastAsia="黑体"/>
            </w:rPr>
          </w:pPr>
          <w:r>
            <w:rPr>
              <w:rFonts w:hint="eastAsia" w:ascii="黑体" w:hAnsi="黑体" w:eastAsia="黑体"/>
            </w:rPr>
            <w:t>版    本</w:t>
          </w:r>
        </w:p>
      </w:tc>
      <w:tc>
        <w:tcPr>
          <w:tcW w:w="1078" w:type="dxa"/>
          <w:tcBorders>
            <w:right w:val="single" w:color="auto" w:sz="18" w:space="0"/>
          </w:tcBorders>
          <w:vAlign w:val="center"/>
        </w:tcPr>
        <w:p w14:paraId="3D00F939">
          <w:pPr>
            <w:jc w:val="center"/>
            <w:rPr>
              <w:rFonts w:hint="eastAsia" w:ascii="宋体" w:hAnsi="宋体" w:eastAsia="宋体"/>
            </w:rPr>
          </w:pPr>
          <w:r>
            <w:rPr>
              <w:rFonts w:hint="eastAsia" w:ascii="宋体" w:hAnsi="宋体" w:eastAsia="宋体"/>
            </w:rPr>
            <w:t>V1</w:t>
          </w:r>
          <w:r>
            <w:rPr>
              <w:rFonts w:ascii="宋体" w:hAnsi="宋体" w:eastAsia="宋体"/>
            </w:rPr>
            <w:t>.0</w:t>
          </w:r>
        </w:p>
      </w:tc>
      <w:tc>
        <w:tcPr>
          <w:tcW w:w="1418" w:type="dxa"/>
          <w:vMerge w:val="continue"/>
          <w:tcBorders>
            <w:left w:val="single" w:color="auto" w:sz="18" w:space="0"/>
            <w:bottom w:val="single" w:color="auto" w:sz="18" w:space="0"/>
            <w:right w:val="single" w:color="auto" w:sz="18" w:space="0"/>
          </w:tcBorders>
          <w:vAlign w:val="center"/>
        </w:tcPr>
        <w:p w14:paraId="6965C790">
          <w:pPr>
            <w:jc w:val="center"/>
            <w:rPr>
              <w:rFonts w:hint="eastAsia"/>
            </w:rPr>
          </w:pPr>
        </w:p>
      </w:tc>
    </w:tr>
    <w:tr w14:paraId="4E61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tcBorders>
            <w:left w:val="single" w:color="auto" w:sz="18" w:space="0"/>
            <w:bottom w:val="single" w:color="auto" w:sz="18" w:space="0"/>
            <w:right w:val="single" w:color="auto" w:sz="18" w:space="0"/>
          </w:tcBorders>
          <w:vAlign w:val="center"/>
        </w:tcPr>
        <w:p w14:paraId="71D97209">
          <w:pPr>
            <w:jc w:val="center"/>
            <w:rPr>
              <w:rFonts w:hint="eastAsia"/>
            </w:rPr>
          </w:pPr>
        </w:p>
      </w:tc>
      <w:tc>
        <w:tcPr>
          <w:tcW w:w="1219" w:type="dxa"/>
          <w:tcBorders>
            <w:left w:val="single" w:color="auto" w:sz="18" w:space="0"/>
            <w:bottom w:val="single" w:color="auto" w:sz="4" w:space="0"/>
          </w:tcBorders>
          <w:vAlign w:val="center"/>
        </w:tcPr>
        <w:p w14:paraId="3DF8AAAC">
          <w:pPr>
            <w:jc w:val="center"/>
            <w:rPr>
              <w:rFonts w:hint="eastAsia" w:ascii="黑体" w:hAnsi="黑体" w:eastAsia="黑体"/>
            </w:rPr>
          </w:pPr>
          <w:r>
            <w:rPr>
              <w:rFonts w:hint="eastAsia" w:ascii="黑体" w:hAnsi="黑体" w:eastAsia="黑体"/>
            </w:rPr>
            <w:t>页    数</w:t>
          </w:r>
        </w:p>
      </w:tc>
      <w:tc>
        <w:tcPr>
          <w:tcW w:w="1220" w:type="dxa"/>
          <w:tcBorders>
            <w:bottom w:val="single" w:color="auto" w:sz="4" w:space="0"/>
          </w:tcBorders>
          <w:vAlign w:val="center"/>
        </w:tcPr>
        <w:p w14:paraId="07B860FA">
          <w:pPr>
            <w:jc w:val="center"/>
            <w:rPr>
              <w:rFonts w:hint="eastAsia" w:ascii="宋体" w:hAnsi="宋体" w:eastAsia="宋体"/>
            </w:rPr>
          </w:pPr>
          <w:r>
            <w:rPr>
              <w:rFonts w:hint="eastAsia" w:ascii="宋体" w:hAnsi="宋体" w:eastAsia="宋体"/>
            </w:rPr>
            <w:t xml:space="preserve">共 </w:t>
          </w:r>
          <w:r>
            <w:rPr>
              <w:rFonts w:ascii="宋体" w:hAnsi="宋体" w:eastAsia="宋体"/>
            </w:rPr>
            <w:t>页</w:t>
          </w:r>
        </w:p>
      </w:tc>
      <w:tc>
        <w:tcPr>
          <w:tcW w:w="1219" w:type="dxa"/>
          <w:tcBorders>
            <w:bottom w:val="single" w:color="auto" w:sz="4" w:space="0"/>
          </w:tcBorders>
          <w:vAlign w:val="center"/>
        </w:tcPr>
        <w:p w14:paraId="476D1E27">
          <w:pPr>
            <w:jc w:val="center"/>
            <w:rPr>
              <w:rFonts w:hint="eastAsia" w:ascii="黑体" w:hAnsi="黑体" w:eastAsia="黑体"/>
            </w:rPr>
          </w:pPr>
          <w:r>
            <w:rPr>
              <w:rFonts w:hint="eastAsia" w:ascii="黑体" w:hAnsi="黑体" w:eastAsia="黑体"/>
            </w:rPr>
            <w:t>保管期限</w:t>
          </w:r>
        </w:p>
      </w:tc>
      <w:tc>
        <w:tcPr>
          <w:tcW w:w="1220" w:type="dxa"/>
          <w:tcBorders>
            <w:bottom w:val="single" w:color="auto" w:sz="4" w:space="0"/>
          </w:tcBorders>
          <w:vAlign w:val="center"/>
        </w:tcPr>
        <w:p w14:paraId="402A9503">
          <w:pPr>
            <w:jc w:val="center"/>
            <w:rPr>
              <w:rFonts w:hint="eastAsia" w:ascii="宋体" w:hAnsi="宋体" w:eastAsia="宋体"/>
            </w:rPr>
          </w:pPr>
          <w:r>
            <w:rPr>
              <w:rFonts w:hint="eastAsia" w:ascii="宋体" w:hAnsi="宋体" w:eastAsia="宋体"/>
            </w:rPr>
            <w:t>长期</w:t>
          </w:r>
        </w:p>
      </w:tc>
      <w:tc>
        <w:tcPr>
          <w:tcW w:w="1219" w:type="dxa"/>
          <w:tcBorders>
            <w:bottom w:val="single" w:color="auto" w:sz="4" w:space="0"/>
          </w:tcBorders>
          <w:vAlign w:val="center"/>
        </w:tcPr>
        <w:p w14:paraId="3CA35B92">
          <w:pPr>
            <w:jc w:val="center"/>
            <w:rPr>
              <w:rFonts w:hint="eastAsia" w:ascii="黑体" w:hAnsi="黑体" w:eastAsia="黑体"/>
            </w:rPr>
          </w:pPr>
          <w:r>
            <w:rPr>
              <w:rFonts w:hint="eastAsia" w:ascii="黑体" w:hAnsi="黑体" w:eastAsia="黑体"/>
            </w:rPr>
            <w:t>项目阶段</w:t>
          </w:r>
        </w:p>
      </w:tc>
      <w:tc>
        <w:tcPr>
          <w:tcW w:w="1078" w:type="dxa"/>
          <w:tcBorders>
            <w:bottom w:val="single" w:color="auto" w:sz="4" w:space="0"/>
            <w:right w:val="single" w:color="auto" w:sz="18" w:space="0"/>
          </w:tcBorders>
          <w:vAlign w:val="center"/>
        </w:tcPr>
        <w:p w14:paraId="61FCD4D1">
          <w:pPr>
            <w:jc w:val="center"/>
            <w:rPr>
              <w:rFonts w:hint="eastAsia" w:ascii="宋体" w:hAnsi="宋体" w:eastAsia="宋体"/>
            </w:rPr>
          </w:pPr>
          <w:r>
            <w:rPr>
              <w:rFonts w:hint="eastAsia" w:ascii="宋体" w:hAnsi="宋体" w:eastAsia="宋体"/>
            </w:rPr>
            <w:t>Z</w:t>
          </w:r>
        </w:p>
      </w:tc>
      <w:tc>
        <w:tcPr>
          <w:tcW w:w="1418" w:type="dxa"/>
          <w:vMerge w:val="continue"/>
          <w:tcBorders>
            <w:left w:val="single" w:color="auto" w:sz="18" w:space="0"/>
            <w:bottom w:val="single" w:color="auto" w:sz="18" w:space="0"/>
            <w:right w:val="single" w:color="auto" w:sz="18" w:space="0"/>
          </w:tcBorders>
          <w:vAlign w:val="center"/>
        </w:tcPr>
        <w:p w14:paraId="3B7D3B87">
          <w:pPr>
            <w:jc w:val="center"/>
            <w:rPr>
              <w:rFonts w:hint="eastAsia"/>
            </w:rPr>
          </w:pPr>
        </w:p>
      </w:tc>
    </w:tr>
    <w:tr w14:paraId="4030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49" w:type="dxa"/>
          <w:vMerge w:val="continue"/>
          <w:tcBorders>
            <w:left w:val="single" w:color="auto" w:sz="18" w:space="0"/>
            <w:bottom w:val="single" w:color="auto" w:sz="18" w:space="0"/>
            <w:right w:val="single" w:color="auto" w:sz="18" w:space="0"/>
          </w:tcBorders>
          <w:vAlign w:val="center"/>
        </w:tcPr>
        <w:p w14:paraId="0FCDB29A">
          <w:pPr>
            <w:jc w:val="center"/>
            <w:rPr>
              <w:rFonts w:hint="eastAsia"/>
            </w:rPr>
          </w:pPr>
        </w:p>
      </w:tc>
      <w:tc>
        <w:tcPr>
          <w:tcW w:w="1219" w:type="dxa"/>
          <w:tcBorders>
            <w:left w:val="single" w:color="auto" w:sz="18" w:space="0"/>
            <w:bottom w:val="single" w:color="auto" w:sz="18" w:space="0"/>
          </w:tcBorders>
          <w:vAlign w:val="center"/>
        </w:tcPr>
        <w:p w14:paraId="61497A43">
          <w:pPr>
            <w:jc w:val="center"/>
            <w:rPr>
              <w:rFonts w:hint="eastAsia" w:ascii="黑体" w:hAnsi="黑体" w:eastAsia="黑体"/>
            </w:rPr>
          </w:pPr>
          <w:r>
            <w:rPr>
              <w:rFonts w:hint="eastAsia" w:ascii="黑体" w:hAnsi="黑体" w:eastAsia="黑体"/>
            </w:rPr>
            <w:t xml:space="preserve">密  </w:t>
          </w:r>
          <w:r>
            <w:rPr>
              <w:rFonts w:ascii="黑体" w:hAnsi="黑体" w:eastAsia="黑体"/>
            </w:rPr>
            <w:t xml:space="preserve">  </w:t>
          </w:r>
          <w:r>
            <w:rPr>
              <w:rFonts w:hint="eastAsia" w:ascii="黑体" w:hAnsi="黑体" w:eastAsia="黑体"/>
            </w:rPr>
            <w:t>级</w:t>
          </w:r>
        </w:p>
      </w:tc>
      <w:tc>
        <w:tcPr>
          <w:tcW w:w="1220" w:type="dxa"/>
          <w:tcBorders>
            <w:bottom w:val="single" w:color="auto" w:sz="18" w:space="0"/>
          </w:tcBorders>
          <w:vAlign w:val="center"/>
        </w:tcPr>
        <w:p w14:paraId="5AE43EA5">
          <w:pPr>
            <w:jc w:val="center"/>
            <w:rPr>
              <w:rFonts w:hint="eastAsia" w:ascii="宋体" w:hAnsi="宋体" w:eastAsia="宋体"/>
            </w:rPr>
          </w:pPr>
          <w:r>
            <w:rPr>
              <w:rFonts w:ascii="宋体" w:hAnsi="宋体" w:eastAsia="宋体"/>
            </w:rPr>
            <w:t>公开</w:t>
          </w:r>
        </w:p>
      </w:tc>
      <w:tc>
        <w:tcPr>
          <w:tcW w:w="1219" w:type="dxa"/>
          <w:tcBorders>
            <w:bottom w:val="single" w:color="auto" w:sz="18" w:space="0"/>
          </w:tcBorders>
          <w:vAlign w:val="center"/>
        </w:tcPr>
        <w:p w14:paraId="014425C6">
          <w:pPr>
            <w:jc w:val="center"/>
            <w:rPr>
              <w:rFonts w:hint="eastAsia" w:ascii="黑体" w:hAnsi="黑体" w:eastAsia="黑体"/>
            </w:rPr>
          </w:pPr>
          <w:r>
            <w:rPr>
              <w:rFonts w:hint="eastAsia" w:ascii="黑体" w:hAnsi="黑体" w:eastAsia="黑体"/>
            </w:rPr>
            <w:t>发布日期</w:t>
          </w:r>
        </w:p>
      </w:tc>
      <w:tc>
        <w:tcPr>
          <w:tcW w:w="3517" w:type="dxa"/>
          <w:gridSpan w:val="3"/>
          <w:tcBorders>
            <w:bottom w:val="single" w:color="auto" w:sz="18" w:space="0"/>
            <w:right w:val="single" w:color="auto" w:sz="18" w:space="0"/>
          </w:tcBorders>
          <w:vAlign w:val="center"/>
        </w:tcPr>
        <w:p w14:paraId="2E69CAA3">
          <w:pPr>
            <w:jc w:val="center"/>
            <w:rPr>
              <w:rFonts w:hint="eastAsia" w:ascii="宋体" w:hAnsi="宋体" w:eastAsia="宋体"/>
            </w:rPr>
          </w:pPr>
        </w:p>
      </w:tc>
      <w:tc>
        <w:tcPr>
          <w:tcW w:w="1418" w:type="dxa"/>
          <w:vMerge w:val="continue"/>
          <w:tcBorders>
            <w:left w:val="single" w:color="auto" w:sz="18" w:space="0"/>
            <w:bottom w:val="single" w:color="auto" w:sz="18" w:space="0"/>
            <w:right w:val="single" w:color="auto" w:sz="18" w:space="0"/>
          </w:tcBorders>
          <w:vAlign w:val="center"/>
        </w:tcPr>
        <w:p w14:paraId="2B8FA16A">
          <w:pPr>
            <w:jc w:val="center"/>
            <w:rPr>
              <w:rFonts w:hint="eastAsia"/>
            </w:rPr>
          </w:pPr>
        </w:p>
      </w:tc>
    </w:tr>
  </w:tbl>
  <w:p w14:paraId="587B25EA">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70EE">
    <w:pPr>
      <w:spacing w:line="20" w:lineRule="exact"/>
    </w:pPr>
    <w:r>
      <w:drawing>
        <wp:inline distT="0" distB="0" distL="0" distR="0">
          <wp:extent cx="6572250" cy="127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6572250" cy="12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C019F">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562B45"/>
    <w:rsid w:val="1AFA0F74"/>
    <w:rsid w:val="2AE966E6"/>
    <w:rsid w:val="390A4B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2"/>
      <w:szCs w:val="22"/>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glossaryDocument" Target="glossary/document.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8c33c6a-f2ba-479c-9275-0fbeb6bea3f5}"/>
        <w:style w:val=""/>
        <w:category>
          <w:name w:val="常规"/>
          <w:gallery w:val="placeholder"/>
        </w:category>
        <w:types>
          <w:type w:val="bbPlcHdr"/>
        </w:types>
        <w:behaviors>
          <w:behavior w:val="content"/>
        </w:behaviors>
        <w:description w:val=""/>
        <w:guid w:val="{08c33c6a-f2ba-479c-9275-0fbeb6bea3f5}"/>
      </w:docPartPr>
      <w:docPartBody>
        <w:p w14:paraId="189F58D9">
          <w:pPr>
            <w:rPr>
              <w:rFonts w:hint="eastAsia"/>
            </w:rPr>
          </w:pPr>
          <w:r>
            <w:rPr>
              <w:rStyle w:val="3"/>
            </w:rPr>
            <w:t>[标题]</w:t>
          </w:r>
        </w:p>
      </w:docPartBody>
    </w:docPart>
    <w:docPart>
      <w:docPartPr>
        <w:name w:val="{5d05e87d-3917-4809-8006-8760b18713d7}"/>
        <w:style w:val=""/>
        <w:category>
          <w:name w:val="常规"/>
          <w:gallery w:val="placeholder"/>
        </w:category>
        <w:types>
          <w:type w:val="bbPlcHdr"/>
        </w:types>
        <w:behaviors>
          <w:behavior w:val="content"/>
        </w:behaviors>
        <w:description w:val=""/>
        <w:guid w:val="{5d05e87d-3917-4809-8006-8760b18713d7}"/>
      </w:docPartPr>
      <w:docPartBody>
        <w:p w14:paraId="7EA78DA3">
          <w:pPr>
            <w:rPr>
              <w:rFonts w:hint="eastAsia"/>
            </w:rPr>
          </w:pPr>
          <w:r>
            <w:rPr>
              <w:rStyle w:val="3"/>
            </w:rPr>
            <w:t>[标题]</w:t>
          </w:r>
        </w:p>
      </w:docPartBody>
    </w:docPart>
    <w:docPart>
      <w:docPartPr>
        <w:name w:val="{c3258f87-13bc-4cdc-aa44-9a9a74801f0d}"/>
        <w:style w:val=""/>
        <w:category>
          <w:name w:val="常规"/>
          <w:gallery w:val="placeholder"/>
        </w:category>
        <w:types>
          <w:type w:val="bbPlcHdr"/>
        </w:types>
        <w:behaviors>
          <w:behavior w:val="content"/>
        </w:behaviors>
        <w:description w:val=""/>
        <w:guid w:val="{c3258f87-13bc-4cdc-aa44-9a9a74801f0d}"/>
      </w:docPartPr>
      <w:docPartBody>
        <w:p w14:paraId="1180D93A">
          <w:pPr>
            <w:rPr>
              <w:rFonts w:hint="eastAsia"/>
            </w:rPr>
          </w:pPr>
          <w:r>
            <w:rPr>
              <w:rStyle w:val="3"/>
            </w:rPr>
            <w:t>[主题]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character" w:styleId="3">
    <w:name w:val="Placeholder Text"/>
    <w:basedOn w:val="2"/>
    <w:semiHidden/>
    <w:uiPriority w:val="99"/>
    <w:rPr>
      <w:color w:val="808080"/>
    </w:r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32</Pages>
  <Words>11059</Words>
  <Characters>12515</Characters>
  <TotalTime>0</TotalTime>
  <ScaleCrop>false</ScaleCrop>
  <LinksUpToDate>false</LinksUpToDate>
  <CharactersWithSpaces>13188</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2026-05-10T04:22:00Z</dcterms:created>
  <dc:creator>pengborong</dc:creator>
  <cp:lastModifiedBy>守望</cp:lastModifiedBy>
  <dcterms:modified xsi:type="dcterms:W3CDTF">2026-05-15T01:56:09Z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2026-05-10T13:59:52Z</vt:filetime>
  </property>
  <property fmtid="{D5CDD505-2E9C-101B-9397-08002B2CF9AE}" pid="4" name="KSOTemplateDocerSaveRecord">
    <vt:lpwstr>eyJoZGlkIjoiNjFjNmU4MThkYzY0ZDE4YzJhN2QyMGNkZjlhNDEzNjAiLCJ1c2VySWQiOiI4MTQ5MTY0OTcifQ==</vt:lpwstr>
  </property>
  <property fmtid="{D5CDD505-2E9C-101B-9397-08002B2CF9AE}" pid="5" name="KSOProductBuildVer">
    <vt:lpwstr>2052-12.1.0.25225</vt:lpwstr>
  </property>
  <property fmtid="{D5CDD505-2E9C-101B-9397-08002B2CF9AE}" pid="6" name="ICV">
    <vt:lpwstr>E7CD2F70B83248FE8814656FB979DB17_12</vt:lpwstr>
  </property>
</Properties>
</file>