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E3D85A">
      <w:pPr>
        <w:pStyle w:val="2"/>
        <w:spacing w:before="87" w:line="240" w:lineRule="auto"/>
        <w:ind w:left="21"/>
        <w:outlineLvl w:val="0"/>
        <w:rPr>
          <w:rFonts w:hint="eastAsia" w:ascii="微软雅黑" w:hAnsi="微软雅黑" w:eastAsia="微软雅黑" w:cs="微软雅黑"/>
          <w:b/>
          <w:bCs/>
          <w:color w:val="32373F"/>
          <w:spacing w:val="-2"/>
          <w:sz w:val="45"/>
          <w:szCs w:val="45"/>
        </w:rPr>
      </w:pPr>
    </w:p>
    <w:p w14:paraId="35E6E878">
      <w:pPr>
        <w:pStyle w:val="2"/>
        <w:spacing w:before="87" w:line="240" w:lineRule="auto"/>
        <w:ind w:left="21"/>
        <w:outlineLvl w:val="0"/>
        <w:rPr>
          <w:rFonts w:hint="eastAsia" w:ascii="微软雅黑" w:hAnsi="微软雅黑" w:eastAsia="微软雅黑" w:cs="微软雅黑"/>
          <w:b/>
          <w:bCs/>
          <w:color w:val="32373F"/>
          <w:spacing w:val="-2"/>
          <w:sz w:val="45"/>
          <w:szCs w:val="45"/>
        </w:rPr>
      </w:pPr>
    </w:p>
    <w:p w14:paraId="5E3C6C31">
      <w:pPr>
        <w:pStyle w:val="2"/>
        <w:spacing w:before="87" w:line="240" w:lineRule="auto"/>
        <w:ind w:left="21"/>
        <w:outlineLvl w:val="0"/>
        <w:rPr>
          <w:rFonts w:hint="eastAsia" w:ascii="微软雅黑" w:hAnsi="微软雅黑" w:eastAsia="微软雅黑" w:cs="微软雅黑"/>
          <w:b/>
          <w:bCs/>
          <w:color w:val="32373F"/>
          <w:spacing w:val="-2"/>
          <w:sz w:val="45"/>
          <w:szCs w:val="45"/>
        </w:rPr>
      </w:pPr>
    </w:p>
    <w:tbl>
      <w:tblPr>
        <w:tblStyle w:val="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797"/>
      </w:tblGrid>
      <w:tr w14:paraId="0D545E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sdt>
          <w:sdtPr>
            <w:rPr>
              <w:rFonts w:ascii="Times New Roman" w:hAnsi="Times New Roman" w:eastAsia="宋体" w:cs="Times New Roman"/>
              <w:kern w:val="0"/>
              <w:sz w:val="44"/>
              <w:szCs w:val="44"/>
              <w:lang w:val="en-US" w:eastAsia="zh-CN" w:bidi="ar-SA"/>
            </w:rPr>
            <w:alias w:val="标题"/>
            <w:id w:val="1562596581"/>
            <w:placeholder>
              <w:docPart w:val="{8e056893-a5d8-411b-8dcb-4133bee97415}"/>
            </w:placeholder>
            <w:dataBinding w:prefixMappings="xmlns:ns0='http://purl.org/dc/elements/1.1/' xmlns:ns1='http://schemas.openxmlformats.org/package/2006/metadata/core-properties' " w:xpath="/ns1:coreProperties[1]/ns0:title[1]" w:storeItemID="{6C3C8BC8-F283-45AE-878A-BAB7291924A1}"/>
            <w:text/>
          </w:sdtPr>
          <w:sdtEndPr>
            <w:rPr>
              <w:rFonts w:ascii="Times New Roman" w:hAnsi="Times New Roman" w:eastAsia="宋体" w:cs="Times New Roman"/>
              <w:snapToGrid/>
              <w:kern w:val="0"/>
              <w:sz w:val="44"/>
              <w:szCs w:val="44"/>
              <w:lang w:val="en-US" w:eastAsia="zh-CN" w:bidi="ar-SA"/>
            </w:rPr>
          </w:sdtEndPr>
          <w:sdtContent>
            <w:tc>
              <w:tcPr>
                <w:tcW w:w="7797" w:type="dxa"/>
                <w:tcBorders>
                  <w:bottom w:val="single" w:color="auto" w:sz="4" w:space="0"/>
                </w:tcBorders>
              </w:tcPr>
              <w:p w14:paraId="0E8B33F1">
                <w:pPr>
                  <w:widowControl w:val="0"/>
                  <w:kinsoku/>
                  <w:autoSpaceDE/>
                  <w:autoSpaceDN/>
                  <w:adjustRightInd/>
                  <w:snapToGrid/>
                  <w:spacing w:line="360" w:lineRule="auto"/>
                  <w:jc w:val="center"/>
                  <w:textAlignment w:val="auto"/>
                  <w:rPr>
                    <w:rFonts w:ascii="Times New Roman" w:hAnsi="Times New Roman" w:eastAsia="宋体" w:cs="Times New Roman"/>
                    <w:snapToGrid/>
                    <w:kern w:val="2"/>
                    <w:sz w:val="44"/>
                    <w:szCs w:val="44"/>
                    <w:lang w:eastAsia="zh-CN"/>
                  </w:rPr>
                </w:pPr>
                <w:r>
                  <w:rPr>
                    <w:rFonts w:ascii="Times New Roman" w:hAnsi="Times New Roman" w:eastAsia="宋体" w:cs="Times New Roman"/>
                    <w:snapToGrid/>
                    <w:kern w:val="0"/>
                    <w:sz w:val="44"/>
                    <w:szCs w:val="44"/>
                    <w:lang w:eastAsia="zh-CN"/>
                  </w:rPr>
                  <w:t>“探路者一号”技术试验卫星工程A星</w:t>
                </w:r>
              </w:p>
            </w:tc>
          </w:sdtContent>
        </w:sdt>
      </w:tr>
      <w:tr w14:paraId="34D1C0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sdt>
          <w:sdtPr>
            <w:rPr>
              <w:rFonts w:hint="eastAsia" w:ascii="Times New Roman" w:hAnsi="Times New Roman" w:eastAsia="宋体" w:cs="Times New Roman"/>
              <w:kern w:val="2"/>
              <w:sz w:val="44"/>
              <w:szCs w:val="44"/>
              <w:lang w:val="en-US" w:eastAsia="zh-CN" w:bidi="ar-SA"/>
            </w:rPr>
            <w:alias w:val="主题"/>
            <w:id w:val="-700697609"/>
            <w:placeholder>
              <w:docPart w:val="{32cd9bd7-a9a9-477c-b289-c4044332d8fe}"/>
            </w:placeholder>
            <w:dataBinding w:prefixMappings="xmlns:ns0='http://purl.org/dc/elements/1.1/' xmlns:ns1='http://schemas.openxmlformats.org/package/2006/metadata/core-properties' " w:xpath="/ns1:coreProperties[1]/ns0:subject[1]" w:storeItemID="{6C3C8BC8-F283-45AE-878A-BAB7291924A1}"/>
            <w:text/>
          </w:sdtPr>
          <w:sdtEndPr>
            <w:rPr>
              <w:rFonts w:hint="eastAsia" w:ascii="Times New Roman" w:hAnsi="Times New Roman" w:eastAsia="宋体" w:cs="Times New Roman"/>
              <w:snapToGrid/>
              <w:kern w:val="2"/>
              <w:sz w:val="44"/>
              <w:szCs w:val="44"/>
              <w:lang w:val="en-US" w:eastAsia="zh-CN" w:bidi="ar-SA"/>
            </w:rPr>
          </w:sdtEndPr>
          <w:sdtContent>
            <w:tc>
              <w:tcPr>
                <w:tcW w:w="7797" w:type="dxa"/>
                <w:tcBorders>
                  <w:top w:val="single" w:color="auto" w:sz="4" w:space="0"/>
                  <w:bottom w:val="single" w:color="auto" w:sz="4" w:space="0"/>
                </w:tcBorders>
              </w:tcPr>
              <w:p w14:paraId="78AD8B9B">
                <w:pPr>
                  <w:widowControl w:val="0"/>
                  <w:kinsoku/>
                  <w:autoSpaceDE/>
                  <w:autoSpaceDN/>
                  <w:adjustRightInd/>
                  <w:snapToGrid/>
                  <w:spacing w:line="360" w:lineRule="auto"/>
                  <w:jc w:val="center"/>
                  <w:textAlignment w:val="auto"/>
                  <w:rPr>
                    <w:rFonts w:ascii="Times New Roman" w:hAnsi="Times New Roman" w:eastAsia="宋体" w:cs="Times New Roman"/>
                    <w:snapToGrid/>
                    <w:kern w:val="2"/>
                    <w:sz w:val="44"/>
                    <w:szCs w:val="44"/>
                    <w:lang w:eastAsia="zh-CN"/>
                  </w:rPr>
                </w:pPr>
                <w:r>
                  <w:rPr>
                    <w:rFonts w:hint="eastAsia" w:ascii="Times New Roman" w:hAnsi="Times New Roman" w:eastAsia="宋体" w:cs="Times New Roman"/>
                    <w:snapToGrid/>
                    <w:kern w:val="2"/>
                    <w:sz w:val="44"/>
                    <w:szCs w:val="44"/>
                    <w:lang w:eastAsia="zh-CN"/>
                  </w:rPr>
                  <w:t>VLAST探路者载荷正样定标报告</w:t>
                </w:r>
              </w:p>
            </w:tc>
          </w:sdtContent>
        </w:sdt>
      </w:tr>
    </w:tbl>
    <w:p w14:paraId="510F543B">
      <w:pPr>
        <w:widowControl w:val="0"/>
        <w:kinsoku/>
        <w:autoSpaceDE/>
        <w:autoSpaceDN/>
        <w:adjustRightInd/>
        <w:snapToGrid/>
        <w:spacing w:line="360" w:lineRule="auto"/>
        <w:jc w:val="both"/>
        <w:textAlignment w:val="auto"/>
        <w:rPr>
          <w:rFonts w:ascii="Times New Roman" w:hAnsi="Times New Roman" w:eastAsia="等线" w:cs="Times New Roman"/>
          <w:snapToGrid/>
          <w:kern w:val="2"/>
          <w:lang w:eastAsia="zh-CN"/>
        </w:rPr>
      </w:pPr>
    </w:p>
    <w:p w14:paraId="5FE06FDA">
      <w:pPr>
        <w:widowControl w:val="0"/>
        <w:kinsoku/>
        <w:autoSpaceDE/>
        <w:autoSpaceDN/>
        <w:adjustRightInd/>
        <w:snapToGrid/>
        <w:spacing w:line="360" w:lineRule="auto"/>
        <w:jc w:val="both"/>
        <w:textAlignment w:val="auto"/>
        <w:rPr>
          <w:rFonts w:ascii="Times New Roman" w:hAnsi="Times New Roman" w:eastAsia="等线" w:cs="Times New Roman"/>
          <w:snapToGrid/>
          <w:kern w:val="2"/>
          <w:lang w:eastAsia="zh-CN"/>
        </w:rPr>
      </w:pPr>
    </w:p>
    <w:p w14:paraId="402FED8A">
      <w:pPr>
        <w:widowControl w:val="0"/>
        <w:kinsoku/>
        <w:autoSpaceDE/>
        <w:autoSpaceDN/>
        <w:adjustRightInd/>
        <w:snapToGrid/>
        <w:spacing w:line="360" w:lineRule="auto"/>
        <w:jc w:val="both"/>
        <w:textAlignment w:val="auto"/>
        <w:rPr>
          <w:rFonts w:ascii="Times New Roman" w:hAnsi="Times New Roman" w:eastAsia="等线" w:cs="Times New Roman"/>
          <w:snapToGrid/>
          <w:kern w:val="2"/>
          <w:lang w:eastAsia="zh-CN"/>
        </w:rPr>
      </w:pP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6"/>
        <w:gridCol w:w="2017"/>
        <w:gridCol w:w="1595"/>
        <w:gridCol w:w="1807"/>
      </w:tblGrid>
      <w:tr w14:paraId="36109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6" w:type="dxa"/>
            <w:vAlign w:val="center"/>
          </w:tcPr>
          <w:p w14:paraId="09B89DD4">
            <w:pPr>
              <w:widowControl w:val="0"/>
              <w:kinsoku/>
              <w:autoSpaceDE/>
              <w:autoSpaceDN/>
              <w:adjustRightInd/>
              <w:snapToGrid/>
              <w:spacing w:line="360" w:lineRule="auto"/>
              <w:jc w:val="center"/>
              <w:textAlignment w:val="auto"/>
              <w:rPr>
                <w:rFonts w:ascii="Times New Roman" w:hAnsi="Times New Roman" w:eastAsia="黑体" w:cs="Times New Roman"/>
                <w:snapToGrid/>
                <w:kern w:val="2"/>
                <w:sz w:val="28"/>
                <w:szCs w:val="28"/>
                <w:lang w:eastAsia="zh-CN"/>
              </w:rPr>
            </w:pPr>
            <w:r>
              <w:rPr>
                <w:rFonts w:ascii="Times New Roman" w:hAnsi="Times New Roman" w:eastAsia="黑体" w:cs="Times New Roman"/>
                <w:snapToGrid/>
                <w:kern w:val="2"/>
                <w:sz w:val="28"/>
                <w:szCs w:val="28"/>
                <w:lang w:eastAsia="zh-CN"/>
              </w:rPr>
              <w:t>科  目</w:t>
            </w:r>
          </w:p>
        </w:tc>
        <w:tc>
          <w:tcPr>
            <w:tcW w:w="2017" w:type="dxa"/>
            <w:vAlign w:val="center"/>
          </w:tcPr>
          <w:p w14:paraId="0A8B8790">
            <w:pPr>
              <w:widowControl w:val="0"/>
              <w:kinsoku/>
              <w:autoSpaceDE/>
              <w:autoSpaceDN/>
              <w:adjustRightInd/>
              <w:snapToGrid/>
              <w:spacing w:line="360" w:lineRule="auto"/>
              <w:jc w:val="center"/>
              <w:textAlignment w:val="auto"/>
              <w:rPr>
                <w:rFonts w:ascii="Times New Roman" w:hAnsi="Times New Roman" w:eastAsia="黑体" w:cs="Times New Roman"/>
                <w:snapToGrid/>
                <w:kern w:val="2"/>
                <w:sz w:val="28"/>
                <w:szCs w:val="28"/>
                <w:lang w:eastAsia="zh-CN"/>
              </w:rPr>
            </w:pPr>
            <w:r>
              <w:rPr>
                <w:rFonts w:ascii="Times New Roman" w:hAnsi="Times New Roman" w:eastAsia="黑体" w:cs="Times New Roman"/>
                <w:snapToGrid/>
                <w:kern w:val="2"/>
                <w:sz w:val="28"/>
                <w:szCs w:val="28"/>
                <w:lang w:eastAsia="zh-CN"/>
              </w:rPr>
              <w:t>人  员</w:t>
            </w:r>
          </w:p>
        </w:tc>
        <w:tc>
          <w:tcPr>
            <w:tcW w:w="1595" w:type="dxa"/>
            <w:vAlign w:val="center"/>
          </w:tcPr>
          <w:p w14:paraId="25DC65F9">
            <w:pPr>
              <w:widowControl w:val="0"/>
              <w:kinsoku/>
              <w:autoSpaceDE/>
              <w:autoSpaceDN/>
              <w:adjustRightInd/>
              <w:snapToGrid/>
              <w:spacing w:line="360" w:lineRule="auto"/>
              <w:jc w:val="center"/>
              <w:textAlignment w:val="auto"/>
              <w:rPr>
                <w:rFonts w:ascii="Times New Roman" w:hAnsi="Times New Roman" w:eastAsia="黑体" w:cs="Times New Roman"/>
                <w:snapToGrid/>
                <w:kern w:val="2"/>
                <w:sz w:val="28"/>
                <w:szCs w:val="28"/>
                <w:lang w:eastAsia="zh-CN"/>
              </w:rPr>
            </w:pPr>
            <w:r>
              <w:rPr>
                <w:rFonts w:ascii="Times New Roman" w:hAnsi="Times New Roman" w:eastAsia="黑体" w:cs="Times New Roman"/>
                <w:snapToGrid/>
                <w:kern w:val="2"/>
                <w:sz w:val="28"/>
                <w:szCs w:val="28"/>
                <w:lang w:eastAsia="zh-CN"/>
              </w:rPr>
              <w:t>日  期</w:t>
            </w:r>
          </w:p>
        </w:tc>
        <w:tc>
          <w:tcPr>
            <w:tcW w:w="1807" w:type="dxa"/>
            <w:vAlign w:val="center"/>
          </w:tcPr>
          <w:p w14:paraId="1340BFF3">
            <w:pPr>
              <w:widowControl w:val="0"/>
              <w:kinsoku/>
              <w:autoSpaceDE/>
              <w:autoSpaceDN/>
              <w:adjustRightInd/>
              <w:snapToGrid/>
              <w:spacing w:line="360" w:lineRule="auto"/>
              <w:jc w:val="center"/>
              <w:textAlignment w:val="auto"/>
              <w:rPr>
                <w:rFonts w:ascii="Times New Roman" w:hAnsi="Times New Roman" w:eastAsia="黑体" w:cs="Times New Roman"/>
                <w:snapToGrid/>
                <w:kern w:val="2"/>
                <w:sz w:val="28"/>
                <w:szCs w:val="28"/>
                <w:lang w:eastAsia="zh-CN"/>
              </w:rPr>
            </w:pPr>
            <w:r>
              <w:rPr>
                <w:rFonts w:ascii="Times New Roman" w:hAnsi="Times New Roman" w:eastAsia="黑体" w:cs="Times New Roman"/>
                <w:snapToGrid/>
                <w:kern w:val="2"/>
                <w:sz w:val="28"/>
                <w:szCs w:val="28"/>
                <w:lang w:eastAsia="zh-CN"/>
              </w:rPr>
              <w:t>签  名</w:t>
            </w:r>
          </w:p>
        </w:tc>
      </w:tr>
      <w:tr w14:paraId="4141F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6" w:type="dxa"/>
            <w:vAlign w:val="center"/>
          </w:tcPr>
          <w:p w14:paraId="34F6DD74">
            <w:pPr>
              <w:widowControl w:val="0"/>
              <w:kinsoku/>
              <w:autoSpaceDE/>
              <w:autoSpaceDN/>
              <w:adjustRightInd/>
              <w:snapToGrid/>
              <w:spacing w:line="360" w:lineRule="auto"/>
              <w:jc w:val="center"/>
              <w:textAlignment w:val="auto"/>
              <w:rPr>
                <w:rFonts w:ascii="Times New Roman" w:hAnsi="Times New Roman" w:eastAsia="黑体" w:cs="Times New Roman"/>
                <w:snapToGrid/>
                <w:kern w:val="2"/>
                <w:sz w:val="28"/>
                <w:szCs w:val="28"/>
                <w:lang w:eastAsia="zh-CN"/>
              </w:rPr>
            </w:pPr>
            <w:r>
              <w:rPr>
                <w:rFonts w:ascii="Times New Roman" w:hAnsi="Times New Roman" w:eastAsia="黑体" w:cs="Times New Roman"/>
                <w:snapToGrid/>
                <w:kern w:val="2"/>
                <w:sz w:val="28"/>
                <w:szCs w:val="28"/>
                <w:lang w:eastAsia="zh-CN"/>
              </w:rPr>
              <w:t>编  写</w:t>
            </w:r>
          </w:p>
        </w:tc>
        <w:tc>
          <w:tcPr>
            <w:tcW w:w="2017" w:type="dxa"/>
            <w:vAlign w:val="center"/>
          </w:tcPr>
          <w:p w14:paraId="7D9A8A12">
            <w:pPr>
              <w:widowControl w:val="0"/>
              <w:kinsoku/>
              <w:autoSpaceDE/>
              <w:autoSpaceDN/>
              <w:adjustRightInd/>
              <w:snapToGrid/>
              <w:spacing w:line="360" w:lineRule="auto"/>
              <w:jc w:val="center"/>
              <w:textAlignment w:val="auto"/>
              <w:rPr>
                <w:rFonts w:ascii="Times New Roman" w:hAnsi="Times New Roman" w:eastAsia="黑体" w:cs="Times New Roman"/>
                <w:snapToGrid/>
                <w:kern w:val="2"/>
                <w:sz w:val="28"/>
                <w:szCs w:val="28"/>
                <w:lang w:eastAsia="zh-CN"/>
              </w:rPr>
            </w:pPr>
            <w:bookmarkStart w:id="0" w:name="_GoBack"/>
            <w:bookmarkEnd w:id="0"/>
          </w:p>
        </w:tc>
        <w:tc>
          <w:tcPr>
            <w:tcW w:w="1595" w:type="dxa"/>
            <w:vAlign w:val="center"/>
          </w:tcPr>
          <w:p w14:paraId="2CAFDA10">
            <w:pPr>
              <w:widowControl w:val="0"/>
              <w:kinsoku/>
              <w:autoSpaceDE/>
              <w:autoSpaceDN/>
              <w:adjustRightInd/>
              <w:snapToGrid/>
              <w:spacing w:line="360" w:lineRule="auto"/>
              <w:jc w:val="center"/>
              <w:textAlignment w:val="auto"/>
              <w:rPr>
                <w:rFonts w:ascii="Times New Roman" w:hAnsi="Times New Roman" w:eastAsia="黑体" w:cs="Times New Roman"/>
                <w:snapToGrid/>
                <w:kern w:val="2"/>
                <w:sz w:val="28"/>
                <w:szCs w:val="28"/>
                <w:lang w:eastAsia="zh-CN"/>
              </w:rPr>
            </w:pPr>
          </w:p>
        </w:tc>
        <w:tc>
          <w:tcPr>
            <w:tcW w:w="1807" w:type="dxa"/>
            <w:vAlign w:val="center"/>
          </w:tcPr>
          <w:p w14:paraId="714D65A9">
            <w:pPr>
              <w:widowControl w:val="0"/>
              <w:kinsoku/>
              <w:autoSpaceDE/>
              <w:autoSpaceDN/>
              <w:adjustRightInd/>
              <w:snapToGrid/>
              <w:spacing w:line="360" w:lineRule="auto"/>
              <w:jc w:val="center"/>
              <w:textAlignment w:val="auto"/>
              <w:rPr>
                <w:rFonts w:ascii="Times New Roman" w:hAnsi="Times New Roman" w:eastAsia="黑体" w:cs="Times New Roman"/>
                <w:snapToGrid/>
                <w:kern w:val="2"/>
                <w:sz w:val="28"/>
                <w:szCs w:val="28"/>
                <w:lang w:eastAsia="zh-CN"/>
              </w:rPr>
            </w:pPr>
          </w:p>
        </w:tc>
      </w:tr>
      <w:tr w14:paraId="68CA4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6" w:type="dxa"/>
            <w:vAlign w:val="center"/>
          </w:tcPr>
          <w:p w14:paraId="1B21E5A4">
            <w:pPr>
              <w:widowControl w:val="0"/>
              <w:kinsoku/>
              <w:autoSpaceDE/>
              <w:autoSpaceDN/>
              <w:adjustRightInd/>
              <w:snapToGrid/>
              <w:spacing w:line="360" w:lineRule="auto"/>
              <w:jc w:val="center"/>
              <w:textAlignment w:val="auto"/>
              <w:rPr>
                <w:rFonts w:ascii="Times New Roman" w:hAnsi="Times New Roman" w:eastAsia="黑体" w:cs="Times New Roman"/>
                <w:snapToGrid/>
                <w:kern w:val="2"/>
                <w:sz w:val="28"/>
                <w:szCs w:val="28"/>
                <w:lang w:eastAsia="zh-CN"/>
              </w:rPr>
            </w:pPr>
            <w:r>
              <w:rPr>
                <w:rFonts w:ascii="Times New Roman" w:hAnsi="Times New Roman" w:eastAsia="黑体" w:cs="Times New Roman"/>
                <w:snapToGrid/>
                <w:kern w:val="2"/>
                <w:sz w:val="28"/>
                <w:szCs w:val="28"/>
                <w:lang w:eastAsia="zh-CN"/>
              </w:rPr>
              <w:t>校  对</w:t>
            </w:r>
          </w:p>
        </w:tc>
        <w:tc>
          <w:tcPr>
            <w:tcW w:w="2017" w:type="dxa"/>
            <w:vAlign w:val="center"/>
          </w:tcPr>
          <w:p w14:paraId="7E738B28">
            <w:pPr>
              <w:widowControl w:val="0"/>
              <w:kinsoku/>
              <w:autoSpaceDE/>
              <w:autoSpaceDN/>
              <w:adjustRightInd/>
              <w:snapToGrid/>
              <w:spacing w:line="360" w:lineRule="auto"/>
              <w:jc w:val="center"/>
              <w:textAlignment w:val="auto"/>
              <w:rPr>
                <w:rFonts w:ascii="Times New Roman" w:hAnsi="Times New Roman" w:eastAsia="黑体" w:cs="Times New Roman"/>
                <w:snapToGrid/>
                <w:kern w:val="2"/>
                <w:sz w:val="28"/>
                <w:szCs w:val="28"/>
                <w:lang w:eastAsia="zh-CN"/>
              </w:rPr>
            </w:pPr>
          </w:p>
        </w:tc>
        <w:tc>
          <w:tcPr>
            <w:tcW w:w="1595" w:type="dxa"/>
            <w:vAlign w:val="center"/>
          </w:tcPr>
          <w:p w14:paraId="31AE81C8">
            <w:pPr>
              <w:widowControl w:val="0"/>
              <w:kinsoku/>
              <w:autoSpaceDE/>
              <w:autoSpaceDN/>
              <w:adjustRightInd/>
              <w:snapToGrid/>
              <w:spacing w:line="360" w:lineRule="auto"/>
              <w:jc w:val="center"/>
              <w:textAlignment w:val="auto"/>
              <w:rPr>
                <w:rFonts w:ascii="Times New Roman" w:hAnsi="Times New Roman" w:eastAsia="黑体" w:cs="Times New Roman"/>
                <w:snapToGrid/>
                <w:kern w:val="2"/>
                <w:sz w:val="28"/>
                <w:szCs w:val="28"/>
                <w:lang w:eastAsia="zh-CN"/>
              </w:rPr>
            </w:pPr>
          </w:p>
        </w:tc>
        <w:tc>
          <w:tcPr>
            <w:tcW w:w="1807" w:type="dxa"/>
            <w:vAlign w:val="center"/>
          </w:tcPr>
          <w:p w14:paraId="0EB5A010">
            <w:pPr>
              <w:widowControl w:val="0"/>
              <w:kinsoku/>
              <w:autoSpaceDE/>
              <w:autoSpaceDN/>
              <w:adjustRightInd/>
              <w:snapToGrid/>
              <w:spacing w:line="360" w:lineRule="auto"/>
              <w:jc w:val="center"/>
              <w:textAlignment w:val="auto"/>
              <w:rPr>
                <w:rFonts w:ascii="Times New Roman" w:hAnsi="Times New Roman" w:eastAsia="黑体" w:cs="Times New Roman"/>
                <w:snapToGrid/>
                <w:kern w:val="2"/>
                <w:sz w:val="28"/>
                <w:szCs w:val="28"/>
                <w:lang w:eastAsia="zh-CN"/>
              </w:rPr>
            </w:pPr>
          </w:p>
        </w:tc>
      </w:tr>
      <w:tr w14:paraId="1070D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6" w:type="dxa"/>
            <w:vAlign w:val="center"/>
          </w:tcPr>
          <w:p w14:paraId="3323E51D">
            <w:pPr>
              <w:widowControl w:val="0"/>
              <w:kinsoku/>
              <w:autoSpaceDE/>
              <w:autoSpaceDN/>
              <w:adjustRightInd/>
              <w:snapToGrid/>
              <w:spacing w:line="360" w:lineRule="auto"/>
              <w:jc w:val="center"/>
              <w:textAlignment w:val="auto"/>
              <w:rPr>
                <w:rFonts w:ascii="Times New Roman" w:hAnsi="Times New Roman" w:eastAsia="黑体" w:cs="Times New Roman"/>
                <w:snapToGrid/>
                <w:kern w:val="2"/>
                <w:sz w:val="28"/>
                <w:szCs w:val="28"/>
                <w:lang w:eastAsia="zh-CN"/>
              </w:rPr>
            </w:pPr>
            <w:r>
              <w:rPr>
                <w:rFonts w:ascii="Times New Roman" w:hAnsi="Times New Roman" w:eastAsia="黑体" w:cs="Times New Roman"/>
                <w:snapToGrid/>
                <w:kern w:val="2"/>
                <w:sz w:val="28"/>
                <w:szCs w:val="28"/>
                <w:lang w:eastAsia="zh-CN"/>
              </w:rPr>
              <w:t>审  核</w:t>
            </w:r>
          </w:p>
        </w:tc>
        <w:tc>
          <w:tcPr>
            <w:tcW w:w="2017" w:type="dxa"/>
            <w:vAlign w:val="center"/>
          </w:tcPr>
          <w:p w14:paraId="03195751">
            <w:pPr>
              <w:widowControl w:val="0"/>
              <w:kinsoku/>
              <w:autoSpaceDE/>
              <w:autoSpaceDN/>
              <w:adjustRightInd/>
              <w:snapToGrid/>
              <w:spacing w:line="360" w:lineRule="auto"/>
              <w:jc w:val="center"/>
              <w:textAlignment w:val="auto"/>
              <w:rPr>
                <w:rFonts w:ascii="Times New Roman" w:hAnsi="Times New Roman" w:eastAsia="黑体" w:cs="Times New Roman"/>
                <w:snapToGrid/>
                <w:kern w:val="2"/>
                <w:sz w:val="28"/>
                <w:szCs w:val="28"/>
                <w:lang w:eastAsia="zh-CN"/>
              </w:rPr>
            </w:pPr>
          </w:p>
        </w:tc>
        <w:tc>
          <w:tcPr>
            <w:tcW w:w="1595" w:type="dxa"/>
            <w:vAlign w:val="center"/>
          </w:tcPr>
          <w:p w14:paraId="7E37605D">
            <w:pPr>
              <w:widowControl w:val="0"/>
              <w:kinsoku/>
              <w:autoSpaceDE/>
              <w:autoSpaceDN/>
              <w:adjustRightInd/>
              <w:snapToGrid/>
              <w:spacing w:line="360" w:lineRule="auto"/>
              <w:jc w:val="center"/>
              <w:textAlignment w:val="auto"/>
              <w:rPr>
                <w:rFonts w:ascii="Times New Roman" w:hAnsi="Times New Roman" w:eastAsia="黑体" w:cs="Times New Roman"/>
                <w:snapToGrid/>
                <w:kern w:val="2"/>
                <w:sz w:val="28"/>
                <w:szCs w:val="28"/>
                <w:lang w:eastAsia="zh-CN"/>
              </w:rPr>
            </w:pPr>
          </w:p>
        </w:tc>
        <w:tc>
          <w:tcPr>
            <w:tcW w:w="1807" w:type="dxa"/>
            <w:vAlign w:val="center"/>
          </w:tcPr>
          <w:p w14:paraId="2D78DADB">
            <w:pPr>
              <w:widowControl w:val="0"/>
              <w:kinsoku/>
              <w:autoSpaceDE/>
              <w:autoSpaceDN/>
              <w:adjustRightInd/>
              <w:snapToGrid/>
              <w:spacing w:line="360" w:lineRule="auto"/>
              <w:jc w:val="center"/>
              <w:textAlignment w:val="auto"/>
              <w:rPr>
                <w:rFonts w:ascii="Times New Roman" w:hAnsi="Times New Roman" w:eastAsia="黑体" w:cs="Times New Roman"/>
                <w:snapToGrid/>
                <w:kern w:val="2"/>
                <w:sz w:val="28"/>
                <w:szCs w:val="28"/>
                <w:lang w:eastAsia="zh-CN"/>
              </w:rPr>
            </w:pPr>
          </w:p>
        </w:tc>
      </w:tr>
      <w:tr w14:paraId="41D73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1806" w:type="dxa"/>
            <w:vAlign w:val="center"/>
          </w:tcPr>
          <w:p w14:paraId="5357F5D5">
            <w:pPr>
              <w:widowControl w:val="0"/>
              <w:kinsoku/>
              <w:autoSpaceDE/>
              <w:autoSpaceDN/>
              <w:adjustRightInd/>
              <w:snapToGrid/>
              <w:spacing w:line="360" w:lineRule="auto"/>
              <w:jc w:val="center"/>
              <w:textAlignment w:val="auto"/>
              <w:rPr>
                <w:rFonts w:ascii="Times New Roman" w:hAnsi="Times New Roman" w:eastAsia="黑体" w:cs="Times New Roman"/>
                <w:snapToGrid/>
                <w:kern w:val="2"/>
                <w:sz w:val="28"/>
                <w:szCs w:val="28"/>
                <w:lang w:eastAsia="zh-CN"/>
              </w:rPr>
            </w:pPr>
            <w:r>
              <w:rPr>
                <w:rFonts w:ascii="Times New Roman" w:hAnsi="Times New Roman" w:eastAsia="黑体" w:cs="Times New Roman"/>
                <w:snapToGrid/>
                <w:kern w:val="2"/>
                <w:sz w:val="28"/>
                <w:szCs w:val="28"/>
                <w:lang w:eastAsia="zh-CN"/>
              </w:rPr>
              <w:t>标  审</w:t>
            </w:r>
          </w:p>
        </w:tc>
        <w:tc>
          <w:tcPr>
            <w:tcW w:w="2017" w:type="dxa"/>
            <w:vAlign w:val="center"/>
          </w:tcPr>
          <w:p w14:paraId="707EC744">
            <w:pPr>
              <w:widowControl w:val="0"/>
              <w:kinsoku/>
              <w:autoSpaceDE/>
              <w:autoSpaceDN/>
              <w:adjustRightInd/>
              <w:snapToGrid/>
              <w:spacing w:line="360" w:lineRule="auto"/>
              <w:jc w:val="center"/>
              <w:textAlignment w:val="auto"/>
              <w:rPr>
                <w:rFonts w:ascii="Times New Roman" w:hAnsi="Times New Roman" w:eastAsia="黑体" w:cs="Times New Roman"/>
                <w:snapToGrid/>
                <w:kern w:val="2"/>
                <w:sz w:val="28"/>
                <w:szCs w:val="28"/>
                <w:lang w:eastAsia="zh-CN"/>
              </w:rPr>
            </w:pPr>
          </w:p>
        </w:tc>
        <w:tc>
          <w:tcPr>
            <w:tcW w:w="1595" w:type="dxa"/>
            <w:vAlign w:val="center"/>
          </w:tcPr>
          <w:p w14:paraId="4AAF6234">
            <w:pPr>
              <w:widowControl w:val="0"/>
              <w:kinsoku/>
              <w:autoSpaceDE/>
              <w:autoSpaceDN/>
              <w:adjustRightInd/>
              <w:snapToGrid/>
              <w:spacing w:line="360" w:lineRule="auto"/>
              <w:jc w:val="center"/>
              <w:textAlignment w:val="auto"/>
              <w:rPr>
                <w:rFonts w:ascii="Times New Roman" w:hAnsi="Times New Roman" w:eastAsia="黑体" w:cs="Times New Roman"/>
                <w:snapToGrid/>
                <w:kern w:val="2"/>
                <w:sz w:val="28"/>
                <w:szCs w:val="28"/>
                <w:lang w:eastAsia="zh-CN"/>
              </w:rPr>
            </w:pPr>
          </w:p>
        </w:tc>
        <w:tc>
          <w:tcPr>
            <w:tcW w:w="1807" w:type="dxa"/>
            <w:vAlign w:val="center"/>
          </w:tcPr>
          <w:p w14:paraId="45575150">
            <w:pPr>
              <w:widowControl w:val="0"/>
              <w:kinsoku/>
              <w:autoSpaceDE/>
              <w:autoSpaceDN/>
              <w:adjustRightInd/>
              <w:snapToGrid/>
              <w:spacing w:line="360" w:lineRule="auto"/>
              <w:jc w:val="center"/>
              <w:textAlignment w:val="auto"/>
              <w:rPr>
                <w:rFonts w:ascii="Times New Roman" w:hAnsi="Times New Roman" w:eastAsia="黑体" w:cs="Times New Roman"/>
                <w:snapToGrid/>
                <w:kern w:val="2"/>
                <w:sz w:val="28"/>
                <w:szCs w:val="28"/>
                <w:lang w:eastAsia="zh-CN"/>
              </w:rPr>
            </w:pPr>
          </w:p>
        </w:tc>
      </w:tr>
      <w:tr w14:paraId="2B913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1806" w:type="dxa"/>
            <w:vAlign w:val="center"/>
          </w:tcPr>
          <w:p w14:paraId="79607194">
            <w:pPr>
              <w:widowControl w:val="0"/>
              <w:kinsoku/>
              <w:autoSpaceDE/>
              <w:autoSpaceDN/>
              <w:adjustRightInd/>
              <w:snapToGrid/>
              <w:spacing w:line="360" w:lineRule="auto"/>
              <w:jc w:val="center"/>
              <w:textAlignment w:val="auto"/>
              <w:rPr>
                <w:rFonts w:ascii="Times New Roman" w:hAnsi="Times New Roman" w:eastAsia="黑体" w:cs="Times New Roman"/>
                <w:snapToGrid/>
                <w:kern w:val="2"/>
                <w:sz w:val="28"/>
                <w:szCs w:val="28"/>
                <w:lang w:eastAsia="zh-CN"/>
              </w:rPr>
            </w:pPr>
            <w:r>
              <w:rPr>
                <w:rFonts w:ascii="Times New Roman" w:hAnsi="Times New Roman" w:eastAsia="黑体" w:cs="Times New Roman"/>
                <w:snapToGrid/>
                <w:kern w:val="2"/>
                <w:sz w:val="28"/>
                <w:szCs w:val="28"/>
                <w:lang w:eastAsia="zh-CN"/>
              </w:rPr>
              <w:t>批  准</w:t>
            </w:r>
          </w:p>
        </w:tc>
        <w:tc>
          <w:tcPr>
            <w:tcW w:w="2017" w:type="dxa"/>
            <w:vAlign w:val="center"/>
          </w:tcPr>
          <w:p w14:paraId="03F23F8B">
            <w:pPr>
              <w:widowControl w:val="0"/>
              <w:kinsoku/>
              <w:autoSpaceDE/>
              <w:autoSpaceDN/>
              <w:adjustRightInd/>
              <w:snapToGrid/>
              <w:spacing w:line="360" w:lineRule="auto"/>
              <w:jc w:val="center"/>
              <w:textAlignment w:val="auto"/>
              <w:rPr>
                <w:rFonts w:ascii="Times New Roman" w:hAnsi="Times New Roman" w:eastAsia="黑体" w:cs="Times New Roman"/>
                <w:snapToGrid/>
                <w:kern w:val="2"/>
                <w:sz w:val="28"/>
                <w:szCs w:val="28"/>
                <w:lang w:eastAsia="zh-CN"/>
              </w:rPr>
            </w:pPr>
          </w:p>
        </w:tc>
        <w:tc>
          <w:tcPr>
            <w:tcW w:w="1595" w:type="dxa"/>
            <w:vAlign w:val="center"/>
          </w:tcPr>
          <w:p w14:paraId="7F7C65E0">
            <w:pPr>
              <w:widowControl w:val="0"/>
              <w:kinsoku/>
              <w:autoSpaceDE/>
              <w:autoSpaceDN/>
              <w:adjustRightInd/>
              <w:snapToGrid/>
              <w:spacing w:line="360" w:lineRule="auto"/>
              <w:jc w:val="center"/>
              <w:textAlignment w:val="auto"/>
              <w:rPr>
                <w:rFonts w:ascii="Times New Roman" w:hAnsi="Times New Roman" w:eastAsia="黑体" w:cs="Times New Roman"/>
                <w:snapToGrid/>
                <w:kern w:val="2"/>
                <w:sz w:val="28"/>
                <w:szCs w:val="28"/>
                <w:lang w:eastAsia="zh-CN"/>
              </w:rPr>
            </w:pPr>
          </w:p>
        </w:tc>
        <w:tc>
          <w:tcPr>
            <w:tcW w:w="1807" w:type="dxa"/>
            <w:vAlign w:val="center"/>
          </w:tcPr>
          <w:p w14:paraId="625D2CEC">
            <w:pPr>
              <w:widowControl w:val="0"/>
              <w:kinsoku/>
              <w:autoSpaceDE/>
              <w:autoSpaceDN/>
              <w:adjustRightInd/>
              <w:snapToGrid/>
              <w:spacing w:line="360" w:lineRule="auto"/>
              <w:jc w:val="center"/>
              <w:textAlignment w:val="auto"/>
              <w:rPr>
                <w:rFonts w:ascii="Times New Roman" w:hAnsi="Times New Roman" w:eastAsia="黑体" w:cs="Times New Roman"/>
                <w:snapToGrid/>
                <w:kern w:val="2"/>
                <w:sz w:val="28"/>
                <w:szCs w:val="28"/>
                <w:lang w:eastAsia="zh-CN"/>
              </w:rPr>
            </w:pPr>
          </w:p>
        </w:tc>
      </w:tr>
    </w:tbl>
    <w:p w14:paraId="427D2084">
      <w:pPr>
        <w:pStyle w:val="2"/>
        <w:spacing w:before="87" w:line="240" w:lineRule="auto"/>
        <w:ind w:left="21"/>
        <w:outlineLvl w:val="0"/>
        <w:rPr>
          <w:rFonts w:hint="eastAsia" w:ascii="微软雅黑" w:hAnsi="微软雅黑" w:eastAsia="微软雅黑" w:cs="微软雅黑"/>
          <w:b/>
          <w:bCs/>
          <w:color w:val="32373F"/>
          <w:spacing w:val="-2"/>
          <w:sz w:val="45"/>
          <w:szCs w:val="45"/>
        </w:rPr>
      </w:pPr>
    </w:p>
    <w:p w14:paraId="270A036B">
      <w:pPr>
        <w:pStyle w:val="2"/>
        <w:spacing w:before="87" w:line="240" w:lineRule="auto"/>
        <w:ind w:left="21"/>
        <w:outlineLvl w:val="0"/>
        <w:rPr>
          <w:rFonts w:hint="eastAsia" w:ascii="微软雅黑" w:hAnsi="微软雅黑" w:eastAsia="微软雅黑" w:cs="微软雅黑"/>
          <w:b/>
          <w:bCs/>
          <w:color w:val="32373F"/>
          <w:spacing w:val="-2"/>
          <w:sz w:val="45"/>
          <w:szCs w:val="45"/>
        </w:rPr>
      </w:pPr>
    </w:p>
    <w:p w14:paraId="13C83237">
      <w:pPr>
        <w:pStyle w:val="2"/>
        <w:spacing w:before="87" w:line="240" w:lineRule="auto"/>
        <w:ind w:left="21"/>
        <w:outlineLvl w:val="0"/>
        <w:rPr>
          <w:rFonts w:hint="eastAsia" w:ascii="微软雅黑" w:hAnsi="微软雅黑" w:eastAsia="微软雅黑" w:cs="微软雅黑"/>
          <w:b/>
          <w:bCs/>
          <w:color w:val="32373F"/>
          <w:spacing w:val="-2"/>
          <w:sz w:val="45"/>
          <w:szCs w:val="45"/>
        </w:rPr>
      </w:pPr>
    </w:p>
    <w:p w14:paraId="49FD5062">
      <w:pPr>
        <w:widowControl w:val="0"/>
        <w:kinsoku/>
        <w:autoSpaceDE/>
        <w:autoSpaceDN/>
        <w:adjustRightInd/>
        <w:snapToGrid/>
        <w:spacing w:line="360" w:lineRule="auto"/>
        <w:jc w:val="center"/>
        <w:textAlignment w:val="auto"/>
        <w:rPr>
          <w:rFonts w:ascii="Times New Roman" w:hAnsi="Times New Roman" w:eastAsia="黑体" w:cs="Times New Roman"/>
          <w:snapToGrid/>
          <w:kern w:val="2"/>
          <w:sz w:val="32"/>
          <w:szCs w:val="32"/>
          <w:lang w:eastAsia="zh-CN"/>
        </w:rPr>
      </w:pPr>
      <w:r>
        <w:rPr>
          <w:rFonts w:ascii="Times New Roman" w:hAnsi="Times New Roman" w:eastAsia="黑体" w:cs="Times New Roman"/>
          <w:snapToGrid/>
          <w:kern w:val="2"/>
          <w:sz w:val="32"/>
          <w:szCs w:val="32"/>
          <w:lang w:eastAsia="zh-CN"/>
        </w:rPr>
        <w:t>中国</w:t>
      </w:r>
      <w:r>
        <w:rPr>
          <w:rFonts w:hint="eastAsia" w:ascii="Times New Roman" w:hAnsi="Times New Roman" w:eastAsia="黑体" w:cs="Times New Roman"/>
          <w:snapToGrid/>
          <w:kern w:val="2"/>
          <w:sz w:val="32"/>
          <w:szCs w:val="32"/>
          <w:lang w:val="en-US" w:eastAsia="zh-CN"/>
        </w:rPr>
        <w:t>科学技术大学</w:t>
      </w:r>
    </w:p>
    <w:p w14:paraId="093697AE">
      <w:pPr>
        <w:pStyle w:val="2"/>
        <w:spacing w:before="87" w:line="240" w:lineRule="auto"/>
        <w:ind w:left="21"/>
        <w:jc w:val="center"/>
        <w:outlineLvl w:val="0"/>
        <w:rPr>
          <w:rFonts w:hint="eastAsia" w:ascii="微软雅黑" w:hAnsi="微软雅黑" w:eastAsia="微软雅黑" w:cs="微软雅黑"/>
          <w:b/>
          <w:bCs/>
          <w:color w:val="32373F"/>
          <w:spacing w:val="-2"/>
          <w:sz w:val="45"/>
          <w:szCs w:val="45"/>
        </w:rPr>
        <w:sectPr>
          <w:headerReference r:id="rId5" w:type="first"/>
          <w:pgSz w:w="11919" w:h="16858"/>
          <w:pgMar w:top="2268" w:right="1077" w:bottom="1440" w:left="1077" w:header="0" w:footer="0" w:gutter="0"/>
          <w:pgBorders w:display="firstPage">
            <w:top w:val="thinThickSmallGap" w:color="auto" w:sz="24" w:space="1"/>
            <w:left w:val="thinThickSmallGap" w:color="auto" w:sz="24" w:space="4"/>
            <w:bottom w:val="thinThickSmallGap" w:color="auto" w:sz="24" w:space="1"/>
            <w:right w:val="thinThickSmallGap" w:color="auto" w:sz="24" w:space="4"/>
          </w:pgBorders>
          <w:cols w:space="720" w:num="1"/>
          <w:titlePg/>
        </w:sectPr>
      </w:pPr>
      <w:r>
        <w:rPr>
          <w:rFonts w:ascii="Times New Roman" w:hAnsi="Times New Roman" w:eastAsia="黑体" w:cs="Times New Roman"/>
          <w:snapToGrid/>
          <w:kern w:val="2"/>
          <w:sz w:val="32"/>
          <w:szCs w:val="32"/>
          <w:lang w:eastAsia="zh-CN"/>
        </w:rPr>
        <w:t>202</w:t>
      </w:r>
      <w:r>
        <w:rPr>
          <w:rFonts w:hint="eastAsia" w:ascii="Times New Roman" w:hAnsi="Times New Roman" w:eastAsia="黑体" w:cs="Times New Roman"/>
          <w:snapToGrid/>
          <w:kern w:val="2"/>
          <w:sz w:val="32"/>
          <w:szCs w:val="32"/>
          <w:lang w:eastAsia="zh-CN"/>
        </w:rPr>
        <w:t>6</w:t>
      </w:r>
      <w:r>
        <w:rPr>
          <w:rFonts w:ascii="Times New Roman" w:hAnsi="Times New Roman" w:eastAsia="黑体" w:cs="Times New Roman"/>
          <w:snapToGrid/>
          <w:kern w:val="2"/>
          <w:sz w:val="32"/>
          <w:szCs w:val="32"/>
          <w:lang w:eastAsia="zh-CN"/>
        </w:rPr>
        <w:t>年0</w:t>
      </w:r>
      <w:r>
        <w:rPr>
          <w:rFonts w:hint="eastAsia" w:ascii="Times New Roman" w:hAnsi="Times New Roman" w:eastAsia="黑体" w:cs="Times New Roman"/>
          <w:snapToGrid/>
          <w:kern w:val="2"/>
          <w:sz w:val="32"/>
          <w:szCs w:val="32"/>
          <w:lang w:eastAsia="zh-CN"/>
        </w:rPr>
        <w:t>5</w:t>
      </w:r>
      <w:r>
        <w:rPr>
          <w:rFonts w:ascii="Times New Roman" w:hAnsi="Times New Roman" w:eastAsia="黑体" w:cs="Times New Roman"/>
          <w:snapToGrid/>
          <w:kern w:val="2"/>
          <w:sz w:val="32"/>
          <w:szCs w:val="32"/>
          <w:lang w:eastAsia="zh-CN"/>
        </w:rPr>
        <w:t>月</w:t>
      </w:r>
    </w:p>
    <w:p w14:paraId="5A4BD01D">
      <w:pPr>
        <w:pStyle w:val="2"/>
        <w:spacing w:before="87" w:line="240" w:lineRule="auto"/>
        <w:ind w:left="21"/>
        <w:outlineLvl w:val="0"/>
        <w:rPr>
          <w:rFonts w:ascii="Arial" w:hAnsi="Arial" w:eastAsia="Arial" w:cs="Arial"/>
          <w:b/>
          <w:bCs/>
          <w:color w:val="32373F"/>
          <w:spacing w:val="-2"/>
          <w:sz w:val="45"/>
          <w:szCs w:val="45"/>
        </w:rPr>
      </w:pPr>
      <w:r>
        <w:rPr>
          <w:rFonts w:ascii="Arial" w:hAnsi="Arial" w:eastAsia="Arial" w:cs="Arial"/>
          <w:b/>
          <w:bCs/>
          <w:color w:val="32373F"/>
          <w:spacing w:val="-2"/>
          <w:sz w:val="45"/>
          <w:szCs w:val="45"/>
        </w:rPr>
        <w:t>Calo</w:t>
      </w:r>
      <w:r>
        <w:rPr>
          <w:b/>
          <w:bCs/>
          <w:color w:val="32373F"/>
          <w:spacing w:val="-2"/>
          <w:sz w:val="45"/>
          <w:szCs w:val="45"/>
        </w:rPr>
        <w:t>热循环实验测试报告</w:t>
      </w:r>
      <w:r>
        <w:rPr>
          <w:rFonts w:ascii="Arial" w:hAnsi="Arial" w:eastAsia="Arial" w:cs="Arial"/>
          <w:b/>
          <w:bCs/>
          <w:color w:val="32373F"/>
          <w:spacing w:val="-2"/>
          <w:sz w:val="45"/>
          <w:szCs w:val="45"/>
        </w:rPr>
        <w:t>v2</w:t>
      </w:r>
    </w:p>
    <w:p w14:paraId="25640E58">
      <w:pPr>
        <w:pStyle w:val="2"/>
        <w:spacing w:before="87" w:line="183" w:lineRule="auto"/>
        <w:ind w:left="21"/>
        <w:outlineLvl w:val="0"/>
      </w:pPr>
      <w:r>
        <w:drawing>
          <wp:inline distT="0" distB="0" distL="0" distR="0">
            <wp:extent cx="6572250" cy="76200"/>
            <wp:effectExtent l="0" t="0" r="11430" b="0"/>
            <wp:docPr id="7" name="IM 2"/>
            <wp:cNvGraphicFramePr/>
            <a:graphic xmlns:a="http://schemas.openxmlformats.org/drawingml/2006/main">
              <a:graphicData uri="http://schemas.openxmlformats.org/drawingml/2006/picture">
                <pic:pic xmlns:pic="http://schemas.openxmlformats.org/drawingml/2006/picture">
                  <pic:nvPicPr>
                    <pic:cNvPr id="7" name="IM 2"/>
                    <pic:cNvPicPr/>
                  </pic:nvPicPr>
                  <pic:blipFill>
                    <a:blip r:embed="rId11"/>
                    <a:stretch>
                      <a:fillRect/>
                    </a:stretch>
                  </pic:blipFill>
                  <pic:spPr>
                    <a:xfrm>
                      <a:off x="0" y="0"/>
                      <a:ext cx="6572250" cy="76200"/>
                    </a:xfrm>
                    <a:prstGeom prst="rect">
                      <a:avLst/>
                    </a:prstGeom>
                  </pic:spPr>
                </pic:pic>
              </a:graphicData>
            </a:graphic>
          </wp:inline>
        </w:drawing>
      </w:r>
    </w:p>
    <w:p w14:paraId="412CC25C">
      <w:pPr>
        <w:pStyle w:val="2"/>
        <w:spacing w:before="87" w:line="183" w:lineRule="auto"/>
        <w:ind w:left="21"/>
        <w:outlineLvl w:val="0"/>
      </w:pPr>
    </w:p>
    <w:p w14:paraId="0D199375">
      <w:pPr>
        <w:pStyle w:val="2"/>
        <w:spacing w:before="87" w:line="240" w:lineRule="auto"/>
        <w:ind w:left="21"/>
        <w:outlineLvl w:val="0"/>
        <w:rPr>
          <w:b/>
          <w:bCs/>
          <w:color w:val="32373F"/>
          <w:spacing w:val="6"/>
          <w:sz w:val="33"/>
          <w:szCs w:val="33"/>
        </w:rPr>
      </w:pPr>
      <w:r>
        <w:rPr>
          <w:b/>
          <w:bCs/>
          <w:color w:val="32373F"/>
          <w:spacing w:val="6"/>
          <w:sz w:val="33"/>
          <w:szCs w:val="33"/>
        </w:rPr>
        <w:t>热循环实验报告</w:t>
      </w:r>
      <w:r>
        <w:drawing>
          <wp:inline distT="0" distB="0" distL="0" distR="0">
            <wp:extent cx="6572250" cy="19050"/>
            <wp:effectExtent l="0" t="0" r="11430" b="3810"/>
            <wp:docPr id="5" name="IM 2"/>
            <wp:cNvGraphicFramePr/>
            <a:graphic xmlns:a="http://schemas.openxmlformats.org/drawingml/2006/main">
              <a:graphicData uri="http://schemas.openxmlformats.org/drawingml/2006/picture">
                <pic:pic xmlns:pic="http://schemas.openxmlformats.org/drawingml/2006/picture">
                  <pic:nvPicPr>
                    <pic:cNvPr id="5" name="IM 2"/>
                    <pic:cNvPicPr/>
                  </pic:nvPicPr>
                  <pic:blipFill>
                    <a:blip r:embed="rId11"/>
                    <a:stretch>
                      <a:fillRect/>
                    </a:stretch>
                  </pic:blipFill>
                  <pic:spPr>
                    <a:xfrm>
                      <a:off x="0" y="0"/>
                      <a:ext cx="6572250" cy="19050"/>
                    </a:xfrm>
                    <a:prstGeom prst="rect">
                      <a:avLst/>
                    </a:prstGeom>
                  </pic:spPr>
                </pic:pic>
              </a:graphicData>
            </a:graphic>
          </wp:inline>
        </w:drawing>
      </w:r>
    </w:p>
    <w:p w14:paraId="2C955626">
      <w:pPr>
        <w:pStyle w:val="9"/>
        <w:spacing w:before="241"/>
        <w:ind w:left="1"/>
      </w:pPr>
      <w:r>
        <w:rPr>
          <w:color w:val="32373F"/>
        </w:rPr>
        <w:t>测试时间：</w:t>
      </w:r>
      <w:r>
        <w:rPr>
          <w:color w:val="32373F"/>
          <w:spacing w:val="-26"/>
        </w:rPr>
        <w:t xml:space="preserve"> </w:t>
      </w:r>
      <w:r>
        <w:rPr>
          <w:rFonts w:ascii="Arial" w:hAnsi="Arial" w:eastAsia="Arial" w:cs="Arial"/>
          <w:color w:val="32373F"/>
        </w:rPr>
        <w:t xml:space="preserve">2026 </w:t>
      </w:r>
      <w:r>
        <w:rPr>
          <w:color w:val="32373F"/>
        </w:rPr>
        <w:t xml:space="preserve">年 </w:t>
      </w:r>
      <w:r>
        <w:rPr>
          <w:rFonts w:ascii="Arial" w:hAnsi="Arial" w:eastAsia="Arial" w:cs="Arial"/>
          <w:color w:val="32373F"/>
        </w:rPr>
        <w:t>3</w:t>
      </w:r>
      <w:r>
        <w:rPr>
          <w:rFonts w:ascii="Arial" w:hAnsi="Arial" w:eastAsia="Arial" w:cs="Arial"/>
          <w:color w:val="32373F"/>
          <w:spacing w:val="10"/>
        </w:rPr>
        <w:t xml:space="preserve"> </w:t>
      </w:r>
      <w:r>
        <w:rPr>
          <w:color w:val="32373F"/>
        </w:rPr>
        <w:t>月</w:t>
      </w:r>
    </w:p>
    <w:p w14:paraId="654A8B7E">
      <w:pPr>
        <w:pStyle w:val="9"/>
        <w:spacing w:before="24" w:line="187" w:lineRule="auto"/>
        <w:ind w:left="1"/>
      </w:pPr>
      <w:r>
        <w:rPr>
          <w:color w:val="32373F"/>
          <w:spacing w:val="4"/>
        </w:rPr>
        <w:t>测试地点：烟台五一三所</w:t>
      </w:r>
    </w:p>
    <w:p w14:paraId="29A1591B">
      <w:pPr>
        <w:pStyle w:val="9"/>
        <w:spacing w:before="65" w:line="187" w:lineRule="auto"/>
        <w:ind w:left="3"/>
        <w:rPr>
          <w:rFonts w:hint="default" w:eastAsia="微软雅黑"/>
          <w:lang w:val="en-US" w:eastAsia="zh-CN"/>
        </w:rPr>
      </w:pPr>
      <w:r>
        <w:rPr>
          <w:color w:val="32373F"/>
          <w:spacing w:val="4"/>
        </w:rPr>
        <w:t>报告人：王家轩，温悦廷</w:t>
      </w:r>
      <w:r>
        <w:rPr>
          <w:rFonts w:hint="eastAsia"/>
          <w:color w:val="32373F"/>
          <w:spacing w:val="4"/>
          <w:lang w:eastAsia="zh-CN"/>
        </w:rPr>
        <w:t>，</w:t>
      </w:r>
      <w:r>
        <w:rPr>
          <w:rFonts w:hint="eastAsia"/>
          <w:color w:val="32373F"/>
          <w:spacing w:val="4"/>
          <w:lang w:val="en-US" w:eastAsia="zh-CN"/>
        </w:rPr>
        <w:t>彭柏融</w:t>
      </w:r>
    </w:p>
    <w:p w14:paraId="5B9F20B6">
      <w:pPr>
        <w:spacing w:line="244" w:lineRule="auto"/>
        <w:rPr>
          <w:rFonts w:ascii="Arial"/>
          <w:sz w:val="21"/>
        </w:rPr>
      </w:pPr>
    </w:p>
    <w:p w14:paraId="2B515D87">
      <w:pPr>
        <w:pStyle w:val="9"/>
        <w:spacing w:before="124" w:line="184" w:lineRule="auto"/>
        <w:ind w:left="23"/>
        <w:rPr>
          <w:sz w:val="29"/>
          <w:szCs w:val="29"/>
        </w:rPr>
      </w:pPr>
      <w:r>
        <w:rPr>
          <w:rFonts w:ascii="Arial" w:hAnsi="Arial" w:eastAsia="Arial" w:cs="Arial"/>
          <w:b/>
          <w:bCs/>
          <w:color w:val="32373F"/>
          <w:spacing w:val="-2"/>
          <w:sz w:val="29"/>
          <w:szCs w:val="29"/>
        </w:rPr>
        <w:t xml:space="preserve">1. </w:t>
      </w:r>
      <w:r>
        <w:rPr>
          <w:b/>
          <w:bCs/>
          <w:color w:val="32373F"/>
          <w:spacing w:val="-2"/>
          <w:sz w:val="29"/>
          <w:szCs w:val="29"/>
        </w:rPr>
        <w:t>实验目的</w:t>
      </w:r>
    </w:p>
    <w:p w14:paraId="3203237A">
      <w:pPr>
        <w:pStyle w:val="9"/>
        <w:spacing w:before="274" w:line="236" w:lineRule="auto"/>
        <w:ind w:left="3" w:firstLine="2"/>
        <w:jc w:val="both"/>
      </w:pPr>
      <w:r>
        <w:rPr>
          <w:color w:val="32373F"/>
          <w:spacing w:val="5"/>
        </w:rPr>
        <w:t>热循环实验旨在模拟空间探测器在轨运行期间所经历的周期性温度交变环境。通过在预</w:t>
      </w:r>
      <w:r>
        <w:rPr>
          <w:color w:val="32373F"/>
          <w:spacing w:val="4"/>
        </w:rPr>
        <w:t>设的高温与低温边</w:t>
      </w:r>
      <w:r>
        <w:rPr>
          <w:color w:val="32373F"/>
          <w:spacing w:val="5"/>
        </w:rPr>
        <w:t>界之间执行多次升降温循环，对探测器载荷及其读出电子学系统在温度应力作用下的工作稳定</w:t>
      </w:r>
      <w:r>
        <w:rPr>
          <w:color w:val="32373F"/>
          <w:spacing w:val="4"/>
        </w:rPr>
        <w:t>性、长期可</w:t>
      </w:r>
      <w:r>
        <w:rPr>
          <w:color w:val="32373F"/>
          <w:spacing w:val="2"/>
        </w:rPr>
        <w:t>靠性及性能漂移特性进行系统性评估。</w:t>
      </w:r>
    </w:p>
    <w:p w14:paraId="1725B354">
      <w:pPr>
        <w:pStyle w:val="9"/>
        <w:spacing w:before="266" w:line="234" w:lineRule="auto"/>
        <w:ind w:left="17" w:right="63" w:hanging="14"/>
      </w:pPr>
      <w:r>
        <w:rPr>
          <w:color w:val="32373F"/>
          <w:spacing w:val="7"/>
        </w:rPr>
        <w:t>本次实验重点考察</w:t>
      </w:r>
      <w:r>
        <w:rPr>
          <w:rFonts w:ascii="Arial" w:hAnsi="Arial" w:eastAsia="Arial" w:cs="Arial"/>
          <w:color w:val="32373F"/>
        </w:rPr>
        <w:t>VLAST</w:t>
      </w:r>
      <w:r>
        <w:rPr>
          <w:rFonts w:ascii="Arial" w:hAnsi="Arial" w:eastAsia="Arial" w:cs="Arial"/>
          <w:color w:val="32373F"/>
          <w:spacing w:val="7"/>
        </w:rPr>
        <w:t>-P</w:t>
      </w:r>
      <w:r>
        <w:rPr>
          <w:color w:val="32373F"/>
          <w:spacing w:val="7"/>
        </w:rPr>
        <w:t>电磁量能器（</w:t>
      </w:r>
      <w:r>
        <w:rPr>
          <w:rFonts w:ascii="Arial" w:hAnsi="Arial" w:eastAsia="Arial" w:cs="Arial"/>
          <w:color w:val="32373F"/>
        </w:rPr>
        <w:t>Electronmagnetic</w:t>
      </w:r>
      <w:r>
        <w:rPr>
          <w:rFonts w:ascii="Arial" w:hAnsi="Arial" w:eastAsia="Arial" w:cs="Arial"/>
          <w:color w:val="32373F"/>
          <w:spacing w:val="7"/>
        </w:rPr>
        <w:t xml:space="preserve"> </w:t>
      </w:r>
      <w:r>
        <w:rPr>
          <w:rFonts w:ascii="Arial" w:hAnsi="Arial" w:eastAsia="Arial" w:cs="Arial"/>
          <w:color w:val="32373F"/>
        </w:rPr>
        <w:t>Calorimeter</w:t>
      </w:r>
      <w:r>
        <w:rPr>
          <w:rFonts w:ascii="Arial" w:hAnsi="Arial" w:eastAsia="Arial" w:cs="Arial"/>
          <w:color w:val="32373F"/>
          <w:spacing w:val="7"/>
        </w:rPr>
        <w:t xml:space="preserve">, </w:t>
      </w:r>
      <w:r>
        <w:rPr>
          <w:color w:val="32373F"/>
          <w:spacing w:val="7"/>
        </w:rPr>
        <w:t>简称</w:t>
      </w:r>
      <w:r>
        <w:rPr>
          <w:rFonts w:ascii="Arial" w:hAnsi="Arial" w:eastAsia="Arial" w:cs="Arial"/>
          <w:color w:val="32373F"/>
        </w:rPr>
        <w:t>ECAL</w:t>
      </w:r>
      <w:r>
        <w:rPr>
          <w:rFonts w:ascii="Arial" w:hAnsi="Arial" w:eastAsia="Arial" w:cs="Arial"/>
          <w:color w:val="32373F"/>
          <w:spacing w:val="7"/>
        </w:rPr>
        <w:t>/</w:t>
      </w:r>
      <w:r>
        <w:rPr>
          <w:rFonts w:ascii="Arial" w:hAnsi="Arial" w:eastAsia="Arial" w:cs="Arial"/>
          <w:color w:val="32373F"/>
        </w:rPr>
        <w:t>Calo</w:t>
      </w:r>
      <w:r>
        <w:rPr>
          <w:color w:val="32373F"/>
          <w:spacing w:val="7"/>
        </w:rPr>
        <w:t>）</w:t>
      </w:r>
      <w:r>
        <w:rPr>
          <w:color w:val="32373F"/>
          <w:spacing w:val="6"/>
        </w:rPr>
        <w:t>在热循环过程</w:t>
      </w:r>
      <w:r>
        <w:rPr>
          <w:color w:val="32373F"/>
          <w:spacing w:val="3"/>
        </w:rPr>
        <w:t>中的工作状态变化。实验期间，对以下两类关键参数进行持</w:t>
      </w:r>
      <w:r>
        <w:rPr>
          <w:color w:val="32373F"/>
          <w:spacing w:val="2"/>
        </w:rPr>
        <w:t>续监测：</w:t>
      </w:r>
    </w:p>
    <w:p w14:paraId="7709E3F2">
      <w:pPr>
        <w:pStyle w:val="9"/>
        <w:spacing w:before="285" w:line="237" w:lineRule="auto"/>
        <w:ind w:left="4" w:right="29" w:hanging="1"/>
      </w:pPr>
      <w:r>
        <w:rPr>
          <w:b/>
          <w:bCs/>
          <w:color w:val="32373F"/>
          <w:spacing w:val="5"/>
        </w:rPr>
        <w:t>科学数据类参数</w:t>
      </w:r>
      <w:r>
        <w:rPr>
          <w:color w:val="32373F"/>
          <w:spacing w:val="5"/>
        </w:rPr>
        <w:t>：包括基线（</w:t>
      </w:r>
      <w:r>
        <w:rPr>
          <w:rFonts w:ascii="Arial" w:hAnsi="Arial" w:eastAsia="Arial" w:cs="Arial"/>
          <w:color w:val="32373F"/>
        </w:rPr>
        <w:t>Pedestal</w:t>
      </w:r>
      <w:r>
        <w:rPr>
          <w:color w:val="32373F"/>
          <w:spacing w:val="5"/>
        </w:rPr>
        <w:t>）刻度、电增益刻度、宇宙线高低增益比刻度及宇宙线最小电离粒</w:t>
      </w:r>
      <w:r>
        <w:rPr>
          <w:color w:val="32373F"/>
          <w:spacing w:val="-1"/>
        </w:rPr>
        <w:t>子（</w:t>
      </w:r>
      <w:r>
        <w:rPr>
          <w:rFonts w:ascii="Arial" w:hAnsi="Arial" w:eastAsia="Arial" w:cs="Arial"/>
          <w:color w:val="32373F"/>
          <w:spacing w:val="-1"/>
        </w:rPr>
        <w:t>MIP</w:t>
      </w:r>
      <w:r>
        <w:rPr>
          <w:color w:val="32373F"/>
          <w:spacing w:val="-1"/>
        </w:rPr>
        <w:t>）响应；</w:t>
      </w:r>
    </w:p>
    <w:p w14:paraId="26DC4B59">
      <w:pPr>
        <w:pStyle w:val="9"/>
        <w:spacing w:before="274" w:line="237" w:lineRule="auto"/>
        <w:ind w:left="4" w:right="102" w:hanging="2"/>
      </w:pPr>
      <w:r>
        <w:rPr>
          <w:b/>
          <w:bCs/>
          <w:color w:val="32373F"/>
          <w:spacing w:val="4"/>
        </w:rPr>
        <w:t>非科学数据类参数</w:t>
      </w:r>
      <w:r>
        <w:rPr>
          <w:color w:val="32373F"/>
          <w:spacing w:val="4"/>
        </w:rPr>
        <w:t>：包括电子学前端板（</w:t>
      </w:r>
      <w:r>
        <w:rPr>
          <w:rFonts w:ascii="Arial" w:hAnsi="Arial" w:eastAsia="Arial" w:cs="Arial"/>
          <w:color w:val="32373F"/>
        </w:rPr>
        <w:t>Front</w:t>
      </w:r>
      <w:r>
        <w:rPr>
          <w:rFonts w:ascii="Arial" w:hAnsi="Arial" w:eastAsia="Arial" w:cs="Arial"/>
          <w:color w:val="32373F"/>
          <w:spacing w:val="4"/>
        </w:rPr>
        <w:t>-</w:t>
      </w:r>
      <w:r>
        <w:rPr>
          <w:rFonts w:ascii="Arial" w:hAnsi="Arial" w:eastAsia="Arial" w:cs="Arial"/>
          <w:color w:val="32373F"/>
        </w:rPr>
        <w:t>End</w:t>
      </w:r>
      <w:r>
        <w:rPr>
          <w:rFonts w:ascii="Arial" w:hAnsi="Arial" w:eastAsia="Arial" w:cs="Arial"/>
          <w:color w:val="32373F"/>
          <w:spacing w:val="23"/>
        </w:rPr>
        <w:t xml:space="preserve"> </w:t>
      </w:r>
      <w:r>
        <w:rPr>
          <w:rFonts w:ascii="Arial" w:hAnsi="Arial" w:eastAsia="Arial" w:cs="Arial"/>
          <w:color w:val="32373F"/>
        </w:rPr>
        <w:t>Electronics</w:t>
      </w:r>
      <w:r>
        <w:rPr>
          <w:rFonts w:ascii="Arial" w:hAnsi="Arial" w:eastAsia="Arial" w:cs="Arial"/>
          <w:color w:val="32373F"/>
          <w:spacing w:val="-26"/>
        </w:rPr>
        <w:t xml:space="preserve"> </w:t>
      </w:r>
      <w:r>
        <w:rPr>
          <w:color w:val="32373F"/>
          <w:spacing w:val="4"/>
        </w:rPr>
        <w:t>，</w:t>
      </w:r>
      <w:r>
        <w:rPr>
          <w:color w:val="32373F"/>
          <w:spacing w:val="-43"/>
        </w:rPr>
        <w:t xml:space="preserve"> </w:t>
      </w:r>
      <w:r>
        <w:rPr>
          <w:rFonts w:ascii="Arial" w:hAnsi="Arial" w:eastAsia="Arial" w:cs="Arial"/>
          <w:color w:val="32373F"/>
        </w:rPr>
        <w:t>FEE</w:t>
      </w:r>
      <w:r>
        <w:rPr>
          <w:color w:val="32373F"/>
          <w:spacing w:val="4"/>
        </w:rPr>
        <w:t>）的电源电流传感器输出及温度传</w:t>
      </w:r>
      <w:r>
        <w:rPr>
          <w:color w:val="32373F"/>
          <w:spacing w:val="-3"/>
        </w:rPr>
        <w:t>感器测量值。</w:t>
      </w:r>
    </w:p>
    <w:p w14:paraId="0938B173">
      <w:pPr>
        <w:pStyle w:val="2"/>
        <w:spacing w:before="87" w:line="183" w:lineRule="auto"/>
        <w:ind w:left="21"/>
        <w:outlineLvl w:val="0"/>
        <w:rPr>
          <w:color w:val="32373F"/>
          <w:spacing w:val="4"/>
        </w:rPr>
      </w:pPr>
      <w:r>
        <w:rPr>
          <w:color w:val="32373F"/>
          <w:spacing w:val="5"/>
        </w:rPr>
        <w:t>通过对不同温度阶段、不同循环次数以及恢复室温前后各项测试结果的横向比对与纵向趋势分析</w:t>
      </w:r>
      <w:r>
        <w:rPr>
          <w:color w:val="32373F"/>
          <w:spacing w:val="4"/>
        </w:rPr>
        <w:t>，综合</w:t>
      </w:r>
    </w:p>
    <w:p w14:paraId="5D038495">
      <w:pPr>
        <w:pStyle w:val="2"/>
        <w:spacing w:before="87" w:line="183" w:lineRule="auto"/>
        <w:ind w:left="21"/>
        <w:outlineLvl w:val="0"/>
        <w:rPr>
          <w:color w:val="32373F"/>
          <w:spacing w:val="3"/>
        </w:rPr>
      </w:pPr>
      <w:r>
        <w:rPr>
          <w:color w:val="32373F"/>
          <w:spacing w:val="4"/>
        </w:rPr>
        <w:t>评判系统是否存在与温度相关的参数漂移、异常响应通道、间歇性工作故障或不可恢</w:t>
      </w:r>
      <w:r>
        <w:rPr>
          <w:color w:val="32373F"/>
          <w:spacing w:val="3"/>
        </w:rPr>
        <w:t>复的性能退化现象。</w:t>
      </w:r>
    </w:p>
    <w:p w14:paraId="497916BF">
      <w:pPr>
        <w:spacing w:line="138" w:lineRule="exact"/>
      </w:pPr>
      <w:r>
        <w:drawing>
          <wp:inline distT="0" distB="0" distL="0" distR="0">
            <wp:extent cx="6572250" cy="19050"/>
            <wp:effectExtent l="0" t="0" r="11430" b="3810"/>
            <wp:docPr id="3" name="IM 2"/>
            <wp:cNvGraphicFramePr/>
            <a:graphic xmlns:a="http://schemas.openxmlformats.org/drawingml/2006/main">
              <a:graphicData uri="http://schemas.openxmlformats.org/drawingml/2006/picture">
                <pic:pic xmlns:pic="http://schemas.openxmlformats.org/drawingml/2006/picture">
                  <pic:nvPicPr>
                    <pic:cNvPr id="3" name="IM 2"/>
                    <pic:cNvPicPr/>
                  </pic:nvPicPr>
                  <pic:blipFill>
                    <a:blip r:embed="rId11"/>
                    <a:stretch>
                      <a:fillRect/>
                    </a:stretch>
                  </pic:blipFill>
                  <pic:spPr>
                    <a:xfrm>
                      <a:off x="0" y="0"/>
                      <a:ext cx="6572250" cy="19050"/>
                    </a:xfrm>
                    <a:prstGeom prst="rect">
                      <a:avLst/>
                    </a:prstGeom>
                  </pic:spPr>
                </pic:pic>
              </a:graphicData>
            </a:graphic>
          </wp:inline>
        </w:drawing>
      </w:r>
    </w:p>
    <w:p w14:paraId="01481735">
      <w:pPr>
        <w:pStyle w:val="2"/>
        <w:spacing w:before="246" w:line="184" w:lineRule="auto"/>
        <w:ind w:left="7"/>
        <w:outlineLvl w:val="1"/>
        <w:rPr>
          <w:sz w:val="29"/>
          <w:szCs w:val="29"/>
        </w:rPr>
      </w:pPr>
      <w:r>
        <w:rPr>
          <w:rFonts w:ascii="Arial" w:hAnsi="Arial" w:eastAsia="Arial" w:cs="Arial"/>
          <w:b/>
          <w:bCs/>
          <w:color w:val="32373F"/>
          <w:sz w:val="29"/>
          <w:szCs w:val="29"/>
        </w:rPr>
        <w:t xml:space="preserve">2. </w:t>
      </w:r>
      <w:r>
        <w:rPr>
          <w:b/>
          <w:bCs/>
          <w:color w:val="32373F"/>
          <w:sz w:val="29"/>
          <w:szCs w:val="29"/>
        </w:rPr>
        <w:t>实验内容</w:t>
      </w:r>
    </w:p>
    <w:p w14:paraId="30A5F72D">
      <w:pPr>
        <w:pStyle w:val="2"/>
        <w:spacing w:before="277" w:line="226" w:lineRule="auto"/>
        <w:ind w:left="3"/>
      </w:pPr>
      <w:r>
        <w:rPr>
          <w:color w:val="32373F"/>
          <w:spacing w:val="5"/>
        </w:rPr>
        <w:t xml:space="preserve">本次热循环实验依据 </w:t>
      </w:r>
      <w:r>
        <w:rPr>
          <w:rFonts w:ascii="Arial" w:hAnsi="Arial" w:eastAsia="Arial" w:cs="Arial"/>
          <w:color w:val="32373F"/>
        </w:rPr>
        <w:t>ECAL</w:t>
      </w:r>
      <w:r>
        <w:rPr>
          <w:rFonts w:ascii="Arial" w:hAnsi="Arial" w:eastAsia="Arial" w:cs="Arial"/>
          <w:color w:val="32373F"/>
          <w:spacing w:val="5"/>
        </w:rPr>
        <w:t xml:space="preserve"> </w:t>
      </w:r>
      <w:r>
        <w:rPr>
          <w:color w:val="32373F"/>
          <w:spacing w:val="5"/>
        </w:rPr>
        <w:t>载荷验收级热循环试验要求开展。实验在正常环</w:t>
      </w:r>
      <w:r>
        <w:rPr>
          <w:color w:val="32373F"/>
          <w:spacing w:val="4"/>
        </w:rPr>
        <w:t>境压力下进行，试验温度范</w:t>
      </w:r>
      <w:r>
        <w:rPr>
          <w:color w:val="32373F"/>
          <w:spacing w:val="10"/>
        </w:rPr>
        <w:t xml:space="preserve">围为 </w:t>
      </w:r>
      <w:r>
        <w:rPr>
          <w:rFonts w:ascii="Arial" w:hAnsi="Arial" w:eastAsia="Arial" w:cs="Arial"/>
          <w:color w:val="32373F"/>
          <w:spacing w:val="10"/>
        </w:rPr>
        <w:t xml:space="preserve">-15 </w:t>
      </w:r>
      <w:r>
        <w:rPr>
          <w:color w:val="32373F"/>
          <w:spacing w:val="10"/>
        </w:rPr>
        <w:t xml:space="preserve">℃ 至 </w:t>
      </w:r>
      <w:r>
        <w:rPr>
          <w:rFonts w:ascii="Arial" w:hAnsi="Arial" w:eastAsia="Arial" w:cs="Arial"/>
          <w:color w:val="32373F"/>
          <w:spacing w:val="10"/>
        </w:rPr>
        <w:t xml:space="preserve">+35 </w:t>
      </w:r>
      <w:r>
        <w:rPr>
          <w:color w:val="32373F"/>
          <w:spacing w:val="10"/>
        </w:rPr>
        <w:t xml:space="preserve">℃,温度允差为 </w:t>
      </w:r>
      <w:r>
        <w:rPr>
          <w:rFonts w:ascii="Arial" w:hAnsi="Arial" w:eastAsia="Arial" w:cs="Arial"/>
          <w:color w:val="32373F"/>
          <w:spacing w:val="10"/>
        </w:rPr>
        <w:t xml:space="preserve">±2 </w:t>
      </w:r>
      <w:r>
        <w:rPr>
          <w:color w:val="32373F"/>
          <w:spacing w:val="10"/>
        </w:rPr>
        <w:t>℃,循环次数为验收级</w:t>
      </w:r>
      <w:r>
        <w:rPr>
          <w:color w:val="32373F"/>
          <w:spacing w:val="26"/>
        </w:rPr>
        <w:t xml:space="preserve"> </w:t>
      </w:r>
      <w:r>
        <w:rPr>
          <w:rFonts w:ascii="Arial" w:hAnsi="Arial" w:eastAsia="Arial" w:cs="Arial"/>
          <w:color w:val="32373F"/>
          <w:spacing w:val="10"/>
        </w:rPr>
        <w:t xml:space="preserve">12.5 </w:t>
      </w:r>
      <w:r>
        <w:rPr>
          <w:color w:val="32373F"/>
          <w:spacing w:val="10"/>
        </w:rPr>
        <w:t>次。试验中的平均变温速率为</w:t>
      </w:r>
      <w:r>
        <w:rPr>
          <w:rFonts w:ascii="Arial" w:hAnsi="Arial" w:eastAsia="Arial" w:cs="Arial"/>
          <w:color w:val="32373F"/>
          <w:spacing w:val="10"/>
        </w:rPr>
        <w:t>3</w:t>
      </w:r>
      <w:r>
        <w:rPr>
          <w:color w:val="32373F"/>
          <w:spacing w:val="10"/>
        </w:rPr>
        <w:t>～</w:t>
      </w:r>
      <w:r>
        <w:rPr>
          <w:rFonts w:ascii="Arial" w:hAnsi="Arial" w:eastAsia="Arial" w:cs="Arial"/>
          <w:color w:val="32373F"/>
          <w:spacing w:val="10"/>
        </w:rPr>
        <w:t>5</w:t>
      </w:r>
      <w:r>
        <w:rPr>
          <w:rFonts w:ascii="Arial" w:hAnsi="Arial" w:eastAsia="Arial" w:cs="Arial"/>
          <w:color w:val="32373F"/>
        </w:rPr>
        <w:t xml:space="preserve"> </w:t>
      </w:r>
      <w:r>
        <w:rPr>
          <w:color w:val="32373F"/>
          <w:spacing w:val="3"/>
        </w:rPr>
        <w:t>℃</w:t>
      </w:r>
      <w:r>
        <w:rPr>
          <w:rFonts w:ascii="Arial" w:hAnsi="Arial" w:eastAsia="Arial" w:cs="Arial"/>
          <w:color w:val="32373F"/>
          <w:spacing w:val="3"/>
        </w:rPr>
        <w:t>/</w:t>
      </w:r>
      <w:r>
        <w:rPr>
          <w:rFonts w:ascii="Arial" w:hAnsi="Arial" w:eastAsia="Arial" w:cs="Arial"/>
          <w:color w:val="32373F"/>
        </w:rPr>
        <w:t>min</w:t>
      </w:r>
      <w:r>
        <w:rPr>
          <w:color w:val="32373F"/>
          <w:spacing w:val="3"/>
        </w:rPr>
        <w:t>，至少不低于</w:t>
      </w:r>
      <w:r>
        <w:rPr>
          <w:color w:val="32373F"/>
          <w:spacing w:val="45"/>
        </w:rPr>
        <w:t xml:space="preserve"> </w:t>
      </w:r>
      <w:r>
        <w:rPr>
          <w:rFonts w:ascii="Arial" w:hAnsi="Arial" w:eastAsia="Arial" w:cs="Arial"/>
          <w:color w:val="32373F"/>
          <w:spacing w:val="3"/>
        </w:rPr>
        <w:t xml:space="preserve">1 </w:t>
      </w:r>
      <w:r>
        <w:rPr>
          <w:color w:val="32373F"/>
          <w:spacing w:val="3"/>
        </w:rPr>
        <w:t>℃</w:t>
      </w:r>
      <w:r>
        <w:rPr>
          <w:rFonts w:ascii="Arial" w:hAnsi="Arial" w:eastAsia="Arial" w:cs="Arial"/>
          <w:color w:val="32373F"/>
          <w:spacing w:val="3"/>
        </w:rPr>
        <w:t>/</w:t>
      </w:r>
      <w:r>
        <w:rPr>
          <w:rFonts w:ascii="Arial" w:hAnsi="Arial" w:eastAsia="Arial" w:cs="Arial"/>
          <w:color w:val="32373F"/>
        </w:rPr>
        <w:t>min</w:t>
      </w:r>
      <w:r>
        <w:rPr>
          <w:color w:val="32373F"/>
          <w:spacing w:val="3"/>
        </w:rPr>
        <w:t xml:space="preserve">，试验过程中的平均变温速率控制在 </w:t>
      </w:r>
      <w:r>
        <w:rPr>
          <w:rFonts w:ascii="Arial" w:hAnsi="Arial" w:eastAsia="Arial" w:cs="Arial"/>
          <w:color w:val="32373F"/>
          <w:spacing w:val="3"/>
        </w:rPr>
        <w:t>3</w:t>
      </w:r>
      <w:r>
        <w:rPr>
          <w:color w:val="32373F"/>
          <w:spacing w:val="3"/>
        </w:rPr>
        <w:t>～</w:t>
      </w:r>
      <w:r>
        <w:rPr>
          <w:rFonts w:ascii="Arial" w:hAnsi="Arial" w:eastAsia="Arial" w:cs="Arial"/>
          <w:color w:val="32373F"/>
          <w:spacing w:val="3"/>
        </w:rPr>
        <w:t xml:space="preserve">5 </w:t>
      </w:r>
      <w:r>
        <w:rPr>
          <w:color w:val="32373F"/>
          <w:spacing w:val="3"/>
        </w:rPr>
        <w:t>℃</w:t>
      </w:r>
      <w:r>
        <w:rPr>
          <w:rFonts w:ascii="Arial" w:hAnsi="Arial" w:eastAsia="Arial" w:cs="Arial"/>
          <w:color w:val="32373F"/>
          <w:spacing w:val="3"/>
        </w:rPr>
        <w:t>/</w:t>
      </w:r>
      <w:r>
        <w:rPr>
          <w:rFonts w:ascii="Arial" w:hAnsi="Arial" w:eastAsia="Arial" w:cs="Arial"/>
          <w:color w:val="32373F"/>
        </w:rPr>
        <w:t>min</w:t>
      </w:r>
      <w:r>
        <w:rPr>
          <w:color w:val="32373F"/>
          <w:spacing w:val="3"/>
        </w:rPr>
        <w:t>，且不低于</w:t>
      </w:r>
      <w:r>
        <w:rPr>
          <w:color w:val="32373F"/>
          <w:spacing w:val="26"/>
        </w:rPr>
        <w:t xml:space="preserve"> </w:t>
      </w:r>
      <w:r>
        <w:rPr>
          <w:rFonts w:ascii="Arial" w:hAnsi="Arial" w:eastAsia="Arial" w:cs="Arial"/>
          <w:color w:val="32373F"/>
          <w:spacing w:val="3"/>
        </w:rPr>
        <w:t xml:space="preserve">1 </w:t>
      </w:r>
      <w:r>
        <w:rPr>
          <w:color w:val="32373F"/>
          <w:spacing w:val="3"/>
        </w:rPr>
        <w:t>℃</w:t>
      </w:r>
      <w:r>
        <w:rPr>
          <w:rFonts w:ascii="Arial" w:hAnsi="Arial" w:eastAsia="Arial" w:cs="Arial"/>
          <w:color w:val="32373F"/>
          <w:spacing w:val="3"/>
        </w:rPr>
        <w:t>/</w:t>
      </w:r>
      <w:r>
        <w:rPr>
          <w:rFonts w:ascii="Arial" w:hAnsi="Arial" w:eastAsia="Arial" w:cs="Arial"/>
          <w:color w:val="32373F"/>
        </w:rPr>
        <w:t>min</w:t>
      </w:r>
      <w:r>
        <w:rPr>
          <w:rFonts w:ascii="Arial" w:hAnsi="Arial" w:eastAsia="Arial" w:cs="Arial"/>
          <w:color w:val="32373F"/>
          <w:spacing w:val="3"/>
        </w:rPr>
        <w:t xml:space="preserve"> </w:t>
      </w:r>
      <w:r>
        <w:rPr>
          <w:color w:val="32373F"/>
          <w:spacing w:val="3"/>
        </w:rPr>
        <w:t>的下</w:t>
      </w:r>
      <w:r>
        <w:rPr>
          <w:color w:val="32373F"/>
          <w:spacing w:val="5"/>
        </w:rPr>
        <w:t>限要求，具体执行速率以现场实际测量结果为准。为防止低温阶段因温差引起冷凝水附着，试</w:t>
      </w:r>
      <w:r>
        <w:rPr>
          <w:color w:val="32373F"/>
          <w:spacing w:val="4"/>
        </w:rPr>
        <w:t>验箱内全程</w:t>
      </w:r>
      <w:r>
        <w:rPr>
          <w:color w:val="32373F"/>
        </w:rPr>
        <w:t>充入氮气进行气氛保护。</w:t>
      </w:r>
    </w:p>
    <w:p w14:paraId="176448B5">
      <w:pPr>
        <w:pStyle w:val="2"/>
        <w:spacing w:before="319" w:line="236" w:lineRule="auto"/>
        <w:ind w:left="3" w:right="33"/>
        <w:jc w:val="both"/>
      </w:pPr>
      <w:r>
        <w:rPr>
          <w:color w:val="32373F"/>
          <w:spacing w:val="4"/>
        </w:rPr>
        <w:t>实验期间，</w:t>
      </w:r>
      <w:r>
        <w:rPr>
          <w:color w:val="32373F"/>
          <w:spacing w:val="-26"/>
        </w:rPr>
        <w:t xml:space="preserve"> </w:t>
      </w:r>
      <w:r>
        <w:rPr>
          <w:rFonts w:ascii="Arial" w:hAnsi="Arial" w:eastAsia="Arial" w:cs="Arial"/>
          <w:color w:val="32373F"/>
        </w:rPr>
        <w:t>ECAL</w:t>
      </w:r>
      <w:r>
        <w:rPr>
          <w:rFonts w:ascii="Arial" w:hAnsi="Arial" w:eastAsia="Arial" w:cs="Arial"/>
          <w:color w:val="32373F"/>
          <w:spacing w:val="4"/>
        </w:rPr>
        <w:t xml:space="preserve"> </w:t>
      </w:r>
      <w:r>
        <w:rPr>
          <w:color w:val="32373F"/>
          <w:spacing w:val="4"/>
        </w:rPr>
        <w:t>载荷安装于高低温试验箱内，按照规定的热循环温度剖面依次经历升温、高温保持、降</w:t>
      </w:r>
      <w:r>
        <w:rPr>
          <w:color w:val="32373F"/>
          <w:spacing w:val="2"/>
        </w:rPr>
        <w:t xml:space="preserve">温、低温保持及回温等阶段。载荷在整个试验过程中尽量保持通电工作状态，并对温度、电流、  </w:t>
      </w:r>
      <w:r>
        <w:rPr>
          <w:rFonts w:ascii="Arial" w:hAnsi="Arial" w:eastAsia="Arial" w:cs="Arial"/>
          <w:color w:val="32373F"/>
        </w:rPr>
        <w:t>APD</w:t>
      </w:r>
      <w:r>
        <w:rPr>
          <w:rFonts w:ascii="Arial" w:hAnsi="Arial" w:eastAsia="Arial" w:cs="Arial"/>
          <w:color w:val="32373F"/>
          <w:spacing w:val="2"/>
        </w:rPr>
        <w:t xml:space="preserve"> </w:t>
      </w:r>
      <w:r>
        <w:rPr>
          <w:color w:val="32373F"/>
          <w:spacing w:val="2"/>
        </w:rPr>
        <w:t>高</w:t>
      </w:r>
      <w:r>
        <w:rPr>
          <w:color w:val="32373F"/>
          <w:spacing w:val="1"/>
        </w:rPr>
        <w:t>压、基线、增益、</w:t>
      </w:r>
      <w:r>
        <w:rPr>
          <w:color w:val="32373F"/>
          <w:spacing w:val="6"/>
        </w:rPr>
        <w:t xml:space="preserve"> </w:t>
      </w:r>
      <w:r>
        <w:rPr>
          <w:rFonts w:ascii="Arial" w:hAnsi="Arial" w:eastAsia="Arial" w:cs="Arial"/>
          <w:color w:val="32373F"/>
        </w:rPr>
        <w:t>MIP</w:t>
      </w:r>
      <w:r>
        <w:rPr>
          <w:rFonts w:ascii="Arial" w:hAnsi="Arial" w:eastAsia="Arial" w:cs="Arial"/>
          <w:color w:val="32373F"/>
          <w:spacing w:val="1"/>
        </w:rPr>
        <w:t xml:space="preserve"> </w:t>
      </w:r>
      <w:r>
        <w:rPr>
          <w:color w:val="32373F"/>
          <w:spacing w:val="1"/>
        </w:rPr>
        <w:t>响应及数据采集状态等关键参数实施持续监测。</w:t>
      </w:r>
    </w:p>
    <w:p w14:paraId="747AF668">
      <w:pPr>
        <w:pStyle w:val="2"/>
        <w:spacing w:before="269" w:line="186" w:lineRule="auto"/>
        <w:ind w:left="3"/>
      </w:pPr>
      <w:r>
        <w:rPr>
          <w:color w:val="32373F"/>
          <w:spacing w:val="3"/>
        </w:rPr>
        <w:t>根据循环所处位置，试验分为</w:t>
      </w:r>
      <w:r>
        <w:rPr>
          <w:b/>
          <w:bCs/>
          <w:color w:val="32373F"/>
          <w:spacing w:val="3"/>
        </w:rPr>
        <w:t>首末循环</w:t>
      </w:r>
      <w:r>
        <w:rPr>
          <w:color w:val="32373F"/>
          <w:spacing w:val="3"/>
        </w:rPr>
        <w:t>与</w:t>
      </w:r>
      <w:r>
        <w:rPr>
          <w:b/>
          <w:bCs/>
          <w:color w:val="32373F"/>
          <w:spacing w:val="3"/>
        </w:rPr>
        <w:t>中间循环</w:t>
      </w:r>
      <w:r>
        <w:rPr>
          <w:color w:val="32373F"/>
          <w:spacing w:val="3"/>
        </w:rPr>
        <w:t>两类：</w:t>
      </w:r>
    </w:p>
    <w:p w14:paraId="416091D0">
      <w:pPr>
        <w:spacing w:line="269" w:lineRule="auto"/>
        <w:rPr>
          <w:rFonts w:ascii="Arial"/>
          <w:sz w:val="21"/>
        </w:rPr>
      </w:pPr>
    </w:p>
    <w:p w14:paraId="79900A60">
      <w:pPr>
        <w:pStyle w:val="2"/>
        <w:spacing w:before="95" w:line="235" w:lineRule="auto"/>
        <w:ind w:left="3" w:firstLine="2"/>
      </w:pPr>
      <w:r>
        <w:rPr>
          <w:b/>
          <w:bCs/>
          <w:color w:val="32373F"/>
          <w:spacing w:val="5"/>
        </w:rPr>
        <w:t>首末循环</w:t>
      </w:r>
      <w:r>
        <w:rPr>
          <w:color w:val="32373F"/>
          <w:spacing w:val="5"/>
        </w:rPr>
        <w:t>按照完整热循环剖面执行。在高温平台和低温平台分别开展热启动与冷启动测</w:t>
      </w:r>
      <w:r>
        <w:rPr>
          <w:color w:val="32373F"/>
          <w:spacing w:val="4"/>
        </w:rPr>
        <w:t>试，每类启动均连</w:t>
      </w:r>
      <w:r>
        <w:rPr>
          <w:color w:val="32373F"/>
          <w:spacing w:val="5"/>
        </w:rPr>
        <w:t>续重复三次，相邻两次启动之间的断电间隔不少于</w:t>
      </w:r>
      <w:r>
        <w:rPr>
          <w:rFonts w:ascii="Arial" w:hAnsi="Arial" w:eastAsia="Arial" w:cs="Arial"/>
          <w:color w:val="32373F"/>
          <w:spacing w:val="5"/>
        </w:rPr>
        <w:t>0.5h</w:t>
      </w:r>
      <w:r>
        <w:rPr>
          <w:color w:val="32373F"/>
          <w:spacing w:val="5"/>
        </w:rPr>
        <w:t>。高温</w:t>
      </w:r>
      <w:r>
        <w:rPr>
          <w:color w:val="32373F"/>
          <w:spacing w:val="4"/>
        </w:rPr>
        <w:t>和低温平台均安排专项性能测试，用于评估</w:t>
      </w:r>
    </w:p>
    <w:p w14:paraId="3BAD539C">
      <w:pPr>
        <w:spacing w:line="235" w:lineRule="auto"/>
        <w:sectPr>
          <w:pgSz w:w="11919" w:h="16858"/>
          <w:pgMar w:top="809" w:right="783" w:bottom="0" w:left="785" w:header="0" w:footer="0" w:gutter="0"/>
          <w:cols w:space="720" w:num="1"/>
        </w:sectPr>
      </w:pPr>
    </w:p>
    <w:p w14:paraId="58093D0E">
      <w:pPr>
        <w:pStyle w:val="2"/>
        <w:spacing w:before="60" w:line="235" w:lineRule="auto"/>
        <w:ind w:left="3" w:right="221" w:firstLine="1"/>
      </w:pPr>
      <w:r>
        <w:rPr>
          <w:color w:val="32373F"/>
          <w:spacing w:val="4"/>
        </w:rPr>
        <w:t>载荷在极端温度条件下的冷热启动能力与工作稳定性。高</w:t>
      </w:r>
      <w:r>
        <w:rPr>
          <w:color w:val="32373F"/>
          <w:spacing w:val="3"/>
        </w:rPr>
        <w:t xml:space="preserve">温台阶和低温台阶的设置时长均不少于 </w:t>
      </w:r>
      <w:r>
        <w:rPr>
          <w:rFonts w:ascii="Arial" w:hAnsi="Arial" w:eastAsia="Arial" w:cs="Arial"/>
          <w:color w:val="32373F"/>
          <w:spacing w:val="3"/>
        </w:rPr>
        <w:t>7.5h</w:t>
      </w:r>
      <w:r>
        <w:rPr>
          <w:color w:val="32373F"/>
          <w:spacing w:val="3"/>
        </w:rPr>
        <w:t>，</w:t>
      </w:r>
      <w:r>
        <w:rPr>
          <w:color w:val="32373F"/>
          <w:spacing w:val="1"/>
        </w:rPr>
        <w:t>其中含</w:t>
      </w:r>
      <w:r>
        <w:rPr>
          <w:color w:val="32373F"/>
          <w:spacing w:val="35"/>
          <w:w w:val="101"/>
        </w:rPr>
        <w:t xml:space="preserve"> </w:t>
      </w:r>
      <w:r>
        <w:rPr>
          <w:rFonts w:ascii="Arial" w:hAnsi="Arial" w:eastAsia="Arial" w:cs="Arial"/>
          <w:color w:val="32373F"/>
          <w:spacing w:val="1"/>
        </w:rPr>
        <w:t xml:space="preserve">1.5h </w:t>
      </w:r>
      <w:r>
        <w:rPr>
          <w:color w:val="32373F"/>
          <w:spacing w:val="1"/>
        </w:rPr>
        <w:t xml:space="preserve">保温及冷热启动时间和 </w:t>
      </w:r>
      <w:r>
        <w:rPr>
          <w:rFonts w:ascii="Arial" w:hAnsi="Arial" w:eastAsia="Arial" w:cs="Arial"/>
          <w:color w:val="32373F"/>
          <w:spacing w:val="1"/>
        </w:rPr>
        <w:t xml:space="preserve">4h </w:t>
      </w:r>
      <w:r>
        <w:rPr>
          <w:color w:val="32373F"/>
          <w:spacing w:val="1"/>
        </w:rPr>
        <w:t>性能测试时间。</w:t>
      </w:r>
    </w:p>
    <w:p w14:paraId="43BC1BC2">
      <w:pPr>
        <w:pStyle w:val="2"/>
        <w:spacing w:before="322" w:line="216" w:lineRule="auto"/>
        <w:ind w:left="2" w:firstLine="10"/>
      </w:pPr>
      <w:r>
        <w:rPr>
          <w:b/>
          <w:bCs/>
          <w:color w:val="32373F"/>
          <w:spacing w:val="5"/>
        </w:rPr>
        <w:t>中间循环</w:t>
      </w:r>
      <w:r>
        <w:rPr>
          <w:color w:val="32373F"/>
          <w:spacing w:val="5"/>
        </w:rPr>
        <w:t>按照简化热循环剖面执行，不进行冷热启动测试，亦不安排高</w:t>
      </w:r>
      <w:r>
        <w:rPr>
          <w:color w:val="32373F"/>
          <w:spacing w:val="4"/>
        </w:rPr>
        <w:t>温段和低温段的专项性能测试，仅</w:t>
      </w:r>
      <w:r>
        <w:rPr>
          <w:color w:val="32373F"/>
          <w:spacing w:val="5"/>
        </w:rPr>
        <w:t>对载荷主要性能参数实施持续监测。中间循环的高</w:t>
      </w:r>
      <w:r>
        <w:rPr>
          <w:color w:val="32373F"/>
          <w:spacing w:val="4"/>
        </w:rPr>
        <w:t xml:space="preserve">温台阶和低温台阶设置时长均不少于 </w:t>
      </w:r>
      <w:r>
        <w:rPr>
          <w:rFonts w:ascii="Arial" w:hAnsi="Arial" w:eastAsia="Arial" w:cs="Arial"/>
          <w:color w:val="32373F"/>
          <w:spacing w:val="4"/>
        </w:rPr>
        <w:t>5.5h</w:t>
      </w:r>
      <w:r>
        <w:rPr>
          <w:color w:val="32373F"/>
          <w:spacing w:val="4"/>
        </w:rPr>
        <w:t>，其中含</w:t>
      </w:r>
    </w:p>
    <w:p w14:paraId="3C05617B">
      <w:pPr>
        <w:pStyle w:val="2"/>
        <w:spacing w:line="239" w:lineRule="auto"/>
        <w:ind w:left="2" w:right="24" w:firstLine="21"/>
      </w:pPr>
      <w:r>
        <w:rPr>
          <w:rFonts w:ascii="Arial" w:hAnsi="Arial" w:eastAsia="Arial" w:cs="Arial"/>
          <w:color w:val="32373F"/>
          <w:spacing w:val="4"/>
        </w:rPr>
        <w:t xml:space="preserve">1.5h </w:t>
      </w:r>
      <w:r>
        <w:rPr>
          <w:color w:val="32373F"/>
          <w:spacing w:val="4"/>
        </w:rPr>
        <w:t xml:space="preserve">保温时间和 </w:t>
      </w:r>
      <w:r>
        <w:rPr>
          <w:rFonts w:ascii="Arial" w:hAnsi="Arial" w:eastAsia="Arial" w:cs="Arial"/>
          <w:color w:val="32373F"/>
          <w:spacing w:val="4"/>
        </w:rPr>
        <w:t xml:space="preserve">4h </w:t>
      </w:r>
      <w:r>
        <w:rPr>
          <w:color w:val="32373F"/>
          <w:spacing w:val="4"/>
        </w:rPr>
        <w:t>主要性能参数监测时间。中间循环主要用于考察载荷在多次温度循环过程</w:t>
      </w:r>
      <w:r>
        <w:rPr>
          <w:color w:val="32373F"/>
          <w:spacing w:val="3"/>
        </w:rPr>
        <w:t>中的参数重</w:t>
      </w:r>
      <w:r>
        <w:rPr>
          <w:color w:val="32373F"/>
          <w:spacing w:val="2"/>
        </w:rPr>
        <w:t>复性与稳定性，并识别潜在的间歇性异常现象。</w:t>
      </w:r>
    </w:p>
    <w:p w14:paraId="3D9FEED4">
      <w:pPr>
        <w:pStyle w:val="2"/>
        <w:spacing w:before="283" w:line="238" w:lineRule="auto"/>
        <w:ind w:left="1" w:firstLine="10"/>
      </w:pPr>
      <w:r>
        <w:rPr>
          <w:color w:val="32373F"/>
          <w:spacing w:val="4"/>
        </w:rPr>
        <w:t>当循环次数达到</w:t>
      </w:r>
      <w:r>
        <w:rPr>
          <w:color w:val="32373F"/>
          <w:spacing w:val="21"/>
          <w:w w:val="101"/>
        </w:rPr>
        <w:t xml:space="preserve"> </w:t>
      </w:r>
      <w:r>
        <w:rPr>
          <w:rFonts w:ascii="Arial" w:hAnsi="Arial" w:eastAsia="Arial" w:cs="Arial"/>
          <w:color w:val="32373F"/>
          <w:spacing w:val="4"/>
        </w:rPr>
        <w:t xml:space="preserve">12.5 </w:t>
      </w:r>
      <w:r>
        <w:rPr>
          <w:color w:val="32373F"/>
          <w:spacing w:val="4"/>
        </w:rPr>
        <w:t>次要求后，继续执行最后的高温半循环，该半循环期间</w:t>
      </w:r>
      <w:r>
        <w:rPr>
          <w:color w:val="32373F"/>
          <w:spacing w:val="3"/>
        </w:rPr>
        <w:t xml:space="preserve"> </w:t>
      </w:r>
      <w:r>
        <w:rPr>
          <w:rFonts w:ascii="Arial" w:hAnsi="Arial" w:eastAsia="Arial" w:cs="Arial"/>
          <w:color w:val="32373F"/>
        </w:rPr>
        <w:t>ECAL</w:t>
      </w:r>
      <w:r>
        <w:rPr>
          <w:rFonts w:ascii="Arial" w:hAnsi="Arial" w:eastAsia="Arial" w:cs="Arial"/>
          <w:color w:val="32373F"/>
          <w:spacing w:val="3"/>
        </w:rPr>
        <w:t xml:space="preserve"> </w:t>
      </w:r>
      <w:r>
        <w:rPr>
          <w:color w:val="32373F"/>
          <w:spacing w:val="3"/>
        </w:rPr>
        <w:t>载荷应保持通电工作</w:t>
      </w:r>
      <w:r>
        <w:rPr>
          <w:color w:val="32373F"/>
          <w:spacing w:val="5"/>
        </w:rPr>
        <w:t>状态。试验全部完成后，将载荷从试验箱中取出并开展试验后性能测试。综合比对试验前、试验中</w:t>
      </w:r>
      <w:r>
        <w:rPr>
          <w:color w:val="32373F"/>
          <w:spacing w:val="4"/>
        </w:rPr>
        <w:t>及试验</w:t>
      </w:r>
      <w:r>
        <w:rPr>
          <w:color w:val="32373F"/>
          <w:spacing w:val="5"/>
        </w:rPr>
        <w:t>后的各项测试结果，对载荷在热循环过程中的性能漂移特性、温度相关性及性能恢复能力进行分</w:t>
      </w:r>
      <w:r>
        <w:rPr>
          <w:color w:val="32373F"/>
          <w:spacing w:val="4"/>
        </w:rPr>
        <w:t>析与评</w:t>
      </w:r>
    </w:p>
    <w:p w14:paraId="32BA181F">
      <w:pPr>
        <w:pStyle w:val="2"/>
        <w:spacing w:before="1" w:line="185" w:lineRule="auto"/>
        <w:ind w:left="1"/>
      </w:pPr>
      <w:r>
        <w:rPr>
          <w:color w:val="32373F"/>
          <w:spacing w:val="-10"/>
        </w:rPr>
        <w:t>估。</w:t>
      </w:r>
    </w:p>
    <w:p w14:paraId="45F2F3C8">
      <w:pPr>
        <w:spacing w:line="301" w:lineRule="auto"/>
        <w:rPr>
          <w:rFonts w:ascii="Arial"/>
          <w:sz w:val="21"/>
        </w:rPr>
      </w:pPr>
    </w:p>
    <w:p w14:paraId="46DEBAE3">
      <w:pPr>
        <w:spacing w:line="30" w:lineRule="exact"/>
      </w:pPr>
      <w:r>
        <w:drawing>
          <wp:inline distT="0" distB="0" distL="0" distR="0">
            <wp:extent cx="6572250" cy="1905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1"/>
                    <a:stretch>
                      <a:fillRect/>
                    </a:stretch>
                  </pic:blipFill>
                  <pic:spPr>
                    <a:xfrm>
                      <a:off x="0" y="0"/>
                      <a:ext cx="6572250" cy="19050"/>
                    </a:xfrm>
                    <a:prstGeom prst="rect">
                      <a:avLst/>
                    </a:prstGeom>
                  </pic:spPr>
                </pic:pic>
              </a:graphicData>
            </a:graphic>
          </wp:inline>
        </w:drawing>
      </w:r>
    </w:p>
    <w:p w14:paraId="785F0996">
      <w:pPr>
        <w:pStyle w:val="2"/>
        <w:spacing w:before="231" w:line="184" w:lineRule="auto"/>
        <w:ind w:left="11"/>
        <w:outlineLvl w:val="1"/>
        <w:rPr>
          <w:sz w:val="29"/>
          <w:szCs w:val="29"/>
        </w:rPr>
      </w:pPr>
      <w:r>
        <w:rPr>
          <w:rFonts w:ascii="Arial" w:hAnsi="Arial" w:eastAsia="Arial" w:cs="Arial"/>
          <w:b/>
          <w:bCs/>
          <w:color w:val="32373F"/>
          <w:spacing w:val="1"/>
          <w:sz w:val="29"/>
          <w:szCs w:val="29"/>
        </w:rPr>
        <w:t xml:space="preserve">3. </w:t>
      </w:r>
      <w:r>
        <w:rPr>
          <w:b/>
          <w:bCs/>
          <w:color w:val="32373F"/>
          <w:spacing w:val="1"/>
          <w:sz w:val="29"/>
          <w:szCs w:val="29"/>
        </w:rPr>
        <w:t>实验设置与数据筛选</w:t>
      </w:r>
    </w:p>
    <w:p w14:paraId="2D10B1EA">
      <w:pPr>
        <w:pStyle w:val="2"/>
        <w:spacing w:before="270" w:line="188" w:lineRule="auto"/>
        <w:ind w:left="9"/>
        <w:outlineLvl w:val="2"/>
        <w:rPr>
          <w:sz w:val="24"/>
          <w:szCs w:val="24"/>
        </w:rPr>
      </w:pPr>
      <w:r>
        <w:rPr>
          <w:rFonts w:ascii="Arial" w:hAnsi="Arial" w:eastAsia="Arial" w:cs="Arial"/>
          <w:b/>
          <w:bCs/>
          <w:color w:val="32373F"/>
          <w:spacing w:val="4"/>
          <w:sz w:val="24"/>
          <w:szCs w:val="24"/>
        </w:rPr>
        <w:t xml:space="preserve">3.1 </w:t>
      </w:r>
      <w:r>
        <w:rPr>
          <w:rFonts w:ascii="Arial" w:hAnsi="Arial" w:eastAsia="Arial" w:cs="Arial"/>
          <w:b/>
          <w:bCs/>
          <w:color w:val="32373F"/>
          <w:sz w:val="24"/>
          <w:szCs w:val="24"/>
        </w:rPr>
        <w:t>APD</w:t>
      </w:r>
      <w:r>
        <w:rPr>
          <w:b/>
          <w:bCs/>
          <w:color w:val="32373F"/>
          <w:spacing w:val="4"/>
          <w:sz w:val="24"/>
          <w:szCs w:val="24"/>
        </w:rPr>
        <w:t>高压设置</w:t>
      </w:r>
    </w:p>
    <w:p w14:paraId="14D2EDE7">
      <w:pPr>
        <w:pStyle w:val="2"/>
        <w:spacing w:before="181" w:line="235" w:lineRule="auto"/>
        <w:ind w:left="3"/>
      </w:pPr>
      <w:r>
        <w:rPr>
          <w:color w:val="32373F"/>
          <w:spacing w:val="2"/>
        </w:rPr>
        <w:t>本次实验中，</w:t>
      </w:r>
      <w:r>
        <w:rPr>
          <w:color w:val="32373F"/>
          <w:spacing w:val="-16"/>
        </w:rPr>
        <w:t xml:space="preserve"> </w:t>
      </w:r>
      <w:r>
        <w:rPr>
          <w:rFonts w:ascii="Arial" w:hAnsi="Arial" w:eastAsia="Arial" w:cs="Arial"/>
          <w:color w:val="32373F"/>
        </w:rPr>
        <w:t>Calo</w:t>
      </w:r>
      <w:r>
        <w:rPr>
          <w:rFonts w:ascii="Arial" w:hAnsi="Arial" w:eastAsia="Arial" w:cs="Arial"/>
          <w:color w:val="32373F"/>
          <w:spacing w:val="2"/>
        </w:rPr>
        <w:t xml:space="preserve"> </w:t>
      </w:r>
      <w:r>
        <w:rPr>
          <w:color w:val="32373F"/>
          <w:spacing w:val="2"/>
        </w:rPr>
        <w:t>的雪崩光电二极管（</w:t>
      </w:r>
      <w:r>
        <w:rPr>
          <w:rFonts w:ascii="Arial" w:hAnsi="Arial" w:eastAsia="Arial" w:cs="Arial"/>
          <w:color w:val="32373F"/>
        </w:rPr>
        <w:t>Avalanche</w:t>
      </w:r>
      <w:r>
        <w:rPr>
          <w:rFonts w:ascii="Arial" w:hAnsi="Arial" w:eastAsia="Arial" w:cs="Arial"/>
          <w:color w:val="32373F"/>
          <w:spacing w:val="18"/>
          <w:w w:val="101"/>
        </w:rPr>
        <w:t xml:space="preserve"> </w:t>
      </w:r>
      <w:r>
        <w:rPr>
          <w:rFonts w:ascii="Arial" w:hAnsi="Arial" w:eastAsia="Arial" w:cs="Arial"/>
          <w:color w:val="32373F"/>
        </w:rPr>
        <w:t>Photodiode</w:t>
      </w:r>
      <w:r>
        <w:rPr>
          <w:rFonts w:ascii="Arial" w:hAnsi="Arial" w:eastAsia="Arial" w:cs="Arial"/>
          <w:color w:val="32373F"/>
          <w:spacing w:val="-26"/>
        </w:rPr>
        <w:t xml:space="preserve"> </w:t>
      </w:r>
      <w:r>
        <w:rPr>
          <w:color w:val="32373F"/>
          <w:spacing w:val="2"/>
        </w:rPr>
        <w:t>，</w:t>
      </w:r>
      <w:r>
        <w:rPr>
          <w:rFonts w:ascii="Arial" w:hAnsi="Arial" w:eastAsia="Arial" w:cs="Arial"/>
          <w:color w:val="32373F"/>
        </w:rPr>
        <w:t>APD</w:t>
      </w:r>
      <w:r>
        <w:rPr>
          <w:color w:val="32373F"/>
          <w:spacing w:val="2"/>
        </w:rPr>
        <w:t>）工作高压设置如下表所示。</w:t>
      </w:r>
    </w:p>
    <w:p w14:paraId="4535E69C">
      <w:pPr>
        <w:spacing w:before="177"/>
      </w:pPr>
    </w:p>
    <w:tbl>
      <w:tblPr>
        <w:tblStyle w:val="8"/>
        <w:tblW w:w="8415" w:type="dxa"/>
        <w:tblInd w:w="7" w:type="dxa"/>
        <w:tblBorders>
          <w:top w:val="single" w:color="DCDCDC" w:sz="6" w:space="0"/>
          <w:left w:val="single" w:color="DCDCDC" w:sz="6" w:space="0"/>
          <w:bottom w:val="single" w:color="DCDCDC" w:sz="6" w:space="0"/>
          <w:right w:val="single" w:color="DCDCDC" w:sz="6" w:space="0"/>
          <w:insideH w:val="single" w:color="DCDCDC" w:sz="6" w:space="0"/>
          <w:insideV w:val="single" w:color="DCDCDC" w:sz="6" w:space="0"/>
        </w:tblBorders>
        <w:tblLayout w:type="fixed"/>
        <w:tblCellMar>
          <w:top w:w="0" w:type="dxa"/>
          <w:left w:w="0" w:type="dxa"/>
          <w:bottom w:w="0" w:type="dxa"/>
          <w:right w:w="0" w:type="dxa"/>
        </w:tblCellMar>
      </w:tblPr>
      <w:tblGrid>
        <w:gridCol w:w="936"/>
        <w:gridCol w:w="3998"/>
        <w:gridCol w:w="3481"/>
      </w:tblGrid>
      <w:tr w14:paraId="06970971">
        <w:tblPrEx>
          <w:tblBorders>
            <w:top w:val="single" w:color="DCDCDC" w:sz="6" w:space="0"/>
            <w:left w:val="single" w:color="DCDCDC" w:sz="6" w:space="0"/>
            <w:bottom w:val="single" w:color="DCDCDC" w:sz="6" w:space="0"/>
            <w:right w:val="single" w:color="DCDCDC" w:sz="6" w:space="0"/>
            <w:insideH w:val="single" w:color="DCDCDC" w:sz="6" w:space="0"/>
            <w:insideV w:val="single" w:color="DCDCDC" w:sz="6" w:space="0"/>
          </w:tblBorders>
          <w:tblCellMar>
            <w:top w:w="0" w:type="dxa"/>
            <w:left w:w="0" w:type="dxa"/>
            <w:bottom w:w="0" w:type="dxa"/>
            <w:right w:w="0" w:type="dxa"/>
          </w:tblCellMar>
        </w:tblPrEx>
        <w:trPr>
          <w:trHeight w:val="532" w:hRule="atLeast"/>
        </w:trPr>
        <w:tc>
          <w:tcPr>
            <w:tcW w:w="936" w:type="dxa"/>
            <w:tcBorders>
              <w:bottom w:val="single" w:color="DCDCDC" w:sz="12" w:space="0"/>
            </w:tcBorders>
            <w:shd w:val="clear" w:color="auto" w:fill="F7F7F7"/>
            <w:vAlign w:val="top"/>
          </w:tcPr>
          <w:p w14:paraId="4B4DC4FD">
            <w:pPr>
              <w:pStyle w:val="9"/>
              <w:spacing w:before="154" w:line="186" w:lineRule="auto"/>
              <w:ind w:left="234"/>
            </w:pPr>
            <w:r>
              <w:rPr>
                <w:b/>
                <w:bCs/>
                <w:color w:val="32373F"/>
                <w:spacing w:val="3"/>
              </w:rPr>
              <w:t>模块</w:t>
            </w:r>
          </w:p>
        </w:tc>
        <w:tc>
          <w:tcPr>
            <w:tcW w:w="3998" w:type="dxa"/>
            <w:tcBorders>
              <w:bottom w:val="single" w:color="DCDCDC" w:sz="12" w:space="0"/>
            </w:tcBorders>
            <w:shd w:val="clear" w:color="auto" w:fill="F7F7F7"/>
            <w:vAlign w:val="top"/>
          </w:tcPr>
          <w:p w14:paraId="77636A8F">
            <w:pPr>
              <w:pStyle w:val="9"/>
              <w:spacing w:before="152" w:line="187" w:lineRule="auto"/>
              <w:ind w:left="1267"/>
            </w:pPr>
            <w:r>
              <w:rPr>
                <w:rFonts w:ascii="Arial" w:hAnsi="Arial" w:eastAsia="Arial" w:cs="Arial"/>
                <w:b/>
                <w:bCs/>
                <w:color w:val="32373F"/>
              </w:rPr>
              <w:t>APD</w:t>
            </w:r>
            <w:r>
              <w:rPr>
                <w:rFonts w:ascii="Arial" w:hAnsi="Arial" w:eastAsia="Arial" w:cs="Arial"/>
                <w:b/>
                <w:bCs/>
                <w:color w:val="32373F"/>
                <w:spacing w:val="6"/>
              </w:rPr>
              <w:t xml:space="preserve"> </w:t>
            </w:r>
            <w:r>
              <w:rPr>
                <w:b/>
                <w:bCs/>
                <w:color w:val="32373F"/>
                <w:spacing w:val="6"/>
              </w:rPr>
              <w:t>高压设置</w:t>
            </w:r>
          </w:p>
        </w:tc>
        <w:tc>
          <w:tcPr>
            <w:tcW w:w="3481" w:type="dxa"/>
            <w:tcBorders>
              <w:bottom w:val="single" w:color="DCDCDC" w:sz="12" w:space="0"/>
            </w:tcBorders>
            <w:shd w:val="clear" w:color="auto" w:fill="F7F7F7"/>
            <w:vAlign w:val="top"/>
          </w:tcPr>
          <w:p w14:paraId="572EB22E">
            <w:pPr>
              <w:pStyle w:val="9"/>
              <w:spacing w:before="154" w:line="186" w:lineRule="auto"/>
              <w:ind w:left="1507"/>
            </w:pPr>
            <w:r>
              <w:rPr>
                <w:b/>
                <w:bCs/>
                <w:color w:val="32373F"/>
                <w:spacing w:val="3"/>
              </w:rPr>
              <w:t>说明</w:t>
            </w:r>
          </w:p>
        </w:tc>
      </w:tr>
      <w:tr w14:paraId="03C45304">
        <w:tblPrEx>
          <w:tblBorders>
            <w:top w:val="single" w:color="DCDCDC" w:sz="6" w:space="0"/>
            <w:left w:val="single" w:color="DCDCDC" w:sz="6" w:space="0"/>
            <w:bottom w:val="single" w:color="DCDCDC" w:sz="6" w:space="0"/>
            <w:right w:val="single" w:color="DCDCDC" w:sz="6" w:space="0"/>
            <w:insideH w:val="single" w:color="DCDCDC" w:sz="6" w:space="0"/>
            <w:insideV w:val="single" w:color="DCDCDC" w:sz="6" w:space="0"/>
          </w:tblBorders>
          <w:tblCellMar>
            <w:top w:w="0" w:type="dxa"/>
            <w:left w:w="0" w:type="dxa"/>
            <w:bottom w:w="0" w:type="dxa"/>
            <w:right w:w="0" w:type="dxa"/>
          </w:tblCellMar>
        </w:tblPrEx>
        <w:trPr>
          <w:trHeight w:val="517" w:hRule="atLeast"/>
        </w:trPr>
        <w:tc>
          <w:tcPr>
            <w:tcW w:w="936" w:type="dxa"/>
            <w:tcBorders>
              <w:top w:val="single" w:color="DCDCDC" w:sz="12" w:space="0"/>
            </w:tcBorders>
            <w:vAlign w:val="top"/>
          </w:tcPr>
          <w:p w14:paraId="179C215E">
            <w:pPr>
              <w:spacing w:before="171" w:line="202" w:lineRule="auto"/>
              <w:ind w:left="236"/>
              <w:rPr>
                <w:rFonts w:ascii="Arial" w:hAnsi="Arial" w:eastAsia="Arial" w:cs="Arial"/>
                <w:sz w:val="22"/>
                <w:szCs w:val="22"/>
              </w:rPr>
            </w:pPr>
            <w:r>
              <w:rPr>
                <w:rFonts w:ascii="Arial" w:hAnsi="Arial" w:eastAsia="Arial" w:cs="Arial"/>
                <w:color w:val="32373F"/>
                <w:spacing w:val="-1"/>
                <w:sz w:val="22"/>
                <w:szCs w:val="22"/>
              </w:rPr>
              <w:t>Calo</w:t>
            </w:r>
          </w:p>
        </w:tc>
        <w:tc>
          <w:tcPr>
            <w:tcW w:w="3998" w:type="dxa"/>
            <w:tcBorders>
              <w:top w:val="single" w:color="DCDCDC" w:sz="12" w:space="0"/>
            </w:tcBorders>
            <w:vAlign w:val="top"/>
          </w:tcPr>
          <w:p w14:paraId="050CF056">
            <w:pPr>
              <w:pStyle w:val="9"/>
              <w:spacing w:before="104" w:line="235" w:lineRule="auto"/>
              <w:ind w:left="226"/>
            </w:pPr>
            <w:r>
              <w:rPr>
                <w:rFonts w:ascii="Arial" w:hAnsi="Arial" w:eastAsia="Arial" w:cs="Arial"/>
                <w:color w:val="32373F"/>
              </w:rPr>
              <w:t>351.5 V</w:t>
            </w:r>
            <w:r>
              <w:rPr>
                <w:color w:val="32373F"/>
              </w:rPr>
              <w:t>（主份）</w:t>
            </w:r>
            <w:r>
              <w:rPr>
                <w:color w:val="32373F"/>
                <w:spacing w:val="31"/>
              </w:rPr>
              <w:t xml:space="preserve"> </w:t>
            </w:r>
            <w:r>
              <w:rPr>
                <w:rFonts w:ascii="Arial" w:hAnsi="Arial" w:eastAsia="Arial" w:cs="Arial"/>
                <w:color w:val="32373F"/>
              </w:rPr>
              <w:t>/ 352.0 V</w:t>
            </w:r>
            <w:r>
              <w:rPr>
                <w:color w:val="32373F"/>
              </w:rPr>
              <w:t>（备份）</w:t>
            </w:r>
          </w:p>
        </w:tc>
        <w:tc>
          <w:tcPr>
            <w:tcW w:w="3481" w:type="dxa"/>
            <w:tcBorders>
              <w:top w:val="single" w:color="DCDCDC" w:sz="12" w:space="0"/>
            </w:tcBorders>
            <w:vAlign w:val="top"/>
          </w:tcPr>
          <w:p w14:paraId="01C0ED70">
            <w:pPr>
              <w:pStyle w:val="9"/>
              <w:spacing w:before="103" w:line="241" w:lineRule="auto"/>
              <w:ind w:left="234"/>
              <w:rPr>
                <w:rFonts w:ascii="Arial" w:hAnsi="Arial" w:eastAsia="Arial" w:cs="Arial"/>
              </w:rPr>
            </w:pPr>
            <w:r>
              <w:rPr>
                <w:color w:val="32373F"/>
                <w:spacing w:val="3"/>
              </w:rPr>
              <w:t xml:space="preserve">比推荐 </w:t>
            </w:r>
            <w:r>
              <w:rPr>
                <w:rFonts w:ascii="Arial" w:hAnsi="Arial" w:eastAsia="Arial" w:cs="Arial"/>
                <w:color w:val="32373F"/>
              </w:rPr>
              <w:t>APD</w:t>
            </w:r>
            <w:r>
              <w:rPr>
                <w:rFonts w:ascii="Arial" w:hAnsi="Arial" w:eastAsia="Arial" w:cs="Arial"/>
                <w:color w:val="32373F"/>
                <w:spacing w:val="3"/>
              </w:rPr>
              <w:t xml:space="preserve"> </w:t>
            </w:r>
            <w:r>
              <w:rPr>
                <w:color w:val="32373F"/>
                <w:spacing w:val="3"/>
              </w:rPr>
              <w:t xml:space="preserve">电压均值降低 </w:t>
            </w:r>
            <w:r>
              <w:rPr>
                <w:rFonts w:ascii="Arial" w:hAnsi="Arial" w:eastAsia="Arial" w:cs="Arial"/>
                <w:color w:val="32373F"/>
                <w:spacing w:val="3"/>
              </w:rPr>
              <w:t>3 V</w:t>
            </w:r>
          </w:p>
        </w:tc>
      </w:tr>
    </w:tbl>
    <w:p w14:paraId="3A12692F">
      <w:pPr>
        <w:pStyle w:val="2"/>
        <w:spacing w:before="307" w:line="239" w:lineRule="auto"/>
        <w:ind w:left="12" w:right="160" w:hanging="7"/>
      </w:pPr>
      <w:r>
        <w:rPr>
          <w:color w:val="32373F"/>
          <w:spacing w:val="4"/>
        </w:rPr>
        <w:t xml:space="preserve">主份与备份通道的工作电压均在推荐 </w:t>
      </w:r>
      <w:r>
        <w:rPr>
          <w:rFonts w:ascii="Arial" w:hAnsi="Arial" w:eastAsia="Arial" w:cs="Arial"/>
          <w:color w:val="32373F"/>
        </w:rPr>
        <w:t>APD</w:t>
      </w:r>
      <w:r>
        <w:rPr>
          <w:rFonts w:ascii="Arial" w:hAnsi="Arial" w:eastAsia="Arial" w:cs="Arial"/>
          <w:color w:val="32373F"/>
          <w:spacing w:val="4"/>
        </w:rPr>
        <w:t xml:space="preserve"> </w:t>
      </w:r>
      <w:r>
        <w:rPr>
          <w:color w:val="32373F"/>
          <w:spacing w:val="4"/>
        </w:rPr>
        <w:t xml:space="preserve">电压均值的基础上降低 </w:t>
      </w:r>
      <w:r>
        <w:rPr>
          <w:rFonts w:ascii="Arial" w:hAnsi="Arial" w:eastAsia="Arial" w:cs="Arial"/>
          <w:color w:val="32373F"/>
          <w:spacing w:val="4"/>
        </w:rPr>
        <w:t>3 V</w:t>
      </w:r>
      <w:r>
        <w:rPr>
          <w:color w:val="32373F"/>
          <w:spacing w:val="4"/>
        </w:rPr>
        <w:t>，以确保器件在热循环温度范围内</w:t>
      </w:r>
      <w:r>
        <w:rPr>
          <w:color w:val="32373F"/>
          <w:spacing w:val="-4"/>
        </w:rPr>
        <w:t>的工作裕量。</w:t>
      </w:r>
    </w:p>
    <w:p w14:paraId="7E172F65">
      <w:pPr>
        <w:pStyle w:val="2"/>
        <w:spacing w:before="307" w:line="187" w:lineRule="auto"/>
        <w:ind w:left="9"/>
        <w:outlineLvl w:val="2"/>
        <w:rPr>
          <w:sz w:val="24"/>
          <w:szCs w:val="24"/>
        </w:rPr>
      </w:pPr>
      <w:r>
        <w:rPr>
          <w:rFonts w:ascii="Arial" w:hAnsi="Arial" w:eastAsia="Arial" w:cs="Arial"/>
          <w:b/>
          <w:bCs/>
          <w:color w:val="32373F"/>
          <w:spacing w:val="5"/>
          <w:sz w:val="24"/>
          <w:szCs w:val="24"/>
        </w:rPr>
        <w:t xml:space="preserve">3.2 </w:t>
      </w:r>
      <w:r>
        <w:rPr>
          <w:b/>
          <w:bCs/>
          <w:color w:val="32373F"/>
          <w:spacing w:val="5"/>
          <w:sz w:val="24"/>
          <w:szCs w:val="24"/>
        </w:rPr>
        <w:t>宇宙线数据筛选</w:t>
      </w:r>
    </w:p>
    <w:p w14:paraId="52304BDE">
      <w:pPr>
        <w:pStyle w:val="2"/>
        <w:spacing w:before="181" w:line="231" w:lineRule="auto"/>
        <w:ind w:left="1" w:right="61"/>
        <w:jc w:val="both"/>
      </w:pPr>
      <w:r>
        <w:rPr>
          <w:color w:val="32373F"/>
          <w:spacing w:val="5"/>
        </w:rPr>
        <w:t>在宇宙线数据分析中，为抑制多晶体联合击中、斜入射宇宙线及电磁簇射（</w:t>
      </w:r>
      <w:r>
        <w:rPr>
          <w:rFonts w:ascii="Arial" w:hAnsi="Arial" w:eastAsia="Arial" w:cs="Arial"/>
          <w:color w:val="32373F"/>
        </w:rPr>
        <w:t>shower</w:t>
      </w:r>
      <w:r>
        <w:rPr>
          <w:color w:val="32373F"/>
          <w:spacing w:val="5"/>
        </w:rPr>
        <w:t>）事件对单通道响应</w:t>
      </w:r>
      <w:r>
        <w:rPr>
          <w:color w:val="32373F"/>
          <w:spacing w:val="6"/>
        </w:rPr>
        <w:t>分析的干扰，本实验优先筛选</w:t>
      </w:r>
      <w:r>
        <w:rPr>
          <w:b/>
          <w:bCs/>
          <w:color w:val="32373F"/>
          <w:spacing w:val="6"/>
        </w:rPr>
        <w:t>单晶体击中事件</w:t>
      </w:r>
      <w:r>
        <w:rPr>
          <w:color w:val="32373F"/>
          <w:spacing w:val="6"/>
        </w:rPr>
        <w:t>（</w:t>
      </w:r>
      <w:r>
        <w:rPr>
          <w:rFonts w:ascii="Arial" w:hAnsi="Arial" w:eastAsia="Arial" w:cs="Arial"/>
          <w:color w:val="32373F"/>
        </w:rPr>
        <w:t>single</w:t>
      </w:r>
      <w:r>
        <w:rPr>
          <w:rFonts w:ascii="Arial" w:hAnsi="Arial" w:eastAsia="Arial" w:cs="Arial"/>
          <w:color w:val="32373F"/>
          <w:spacing w:val="6"/>
        </w:rPr>
        <w:t>-</w:t>
      </w:r>
      <w:r>
        <w:rPr>
          <w:rFonts w:ascii="Arial" w:hAnsi="Arial" w:eastAsia="Arial" w:cs="Arial"/>
          <w:color w:val="32373F"/>
        </w:rPr>
        <w:t>hit</w:t>
      </w:r>
      <w:r>
        <w:rPr>
          <w:rFonts w:ascii="Arial" w:hAnsi="Arial" w:eastAsia="Arial" w:cs="Arial"/>
          <w:color w:val="32373F"/>
          <w:spacing w:val="5"/>
        </w:rPr>
        <w:t xml:space="preserve"> </w:t>
      </w:r>
      <w:r>
        <w:rPr>
          <w:rFonts w:ascii="Arial" w:hAnsi="Arial" w:eastAsia="Arial" w:cs="Arial"/>
          <w:color w:val="32373F"/>
        </w:rPr>
        <w:t>event</w:t>
      </w:r>
      <w:r>
        <w:rPr>
          <w:color w:val="32373F"/>
          <w:spacing w:val="4"/>
        </w:rPr>
        <w:t>），</w:t>
      </w:r>
      <w:r>
        <w:rPr>
          <w:color w:val="32373F"/>
          <w:spacing w:val="5"/>
        </w:rPr>
        <w:t>即在一次触发中仅有一个晶体单元记</w:t>
      </w:r>
      <w:r>
        <w:rPr>
          <w:color w:val="32373F"/>
        </w:rPr>
        <w:t>录到有效信号的事件。</w:t>
      </w:r>
    </w:p>
    <w:p w14:paraId="064199BB">
      <w:pPr>
        <w:pStyle w:val="2"/>
        <w:spacing w:before="332" w:line="239" w:lineRule="auto"/>
        <w:ind w:left="2" w:right="154" w:firstLine="1"/>
      </w:pPr>
      <w:r>
        <w:rPr>
          <w:color w:val="32373F"/>
          <w:spacing w:val="5"/>
        </w:rPr>
        <w:t>相较于多晶体击中事件，单晶体击中事件的能量沉积更为集中，信号形态更接</w:t>
      </w:r>
      <w:r>
        <w:rPr>
          <w:color w:val="32373F"/>
          <w:spacing w:val="4"/>
        </w:rPr>
        <w:t xml:space="preserve">近理想 </w:t>
      </w:r>
      <w:r>
        <w:rPr>
          <w:rFonts w:ascii="Arial" w:hAnsi="Arial" w:eastAsia="Arial" w:cs="Arial"/>
          <w:color w:val="32373F"/>
        </w:rPr>
        <w:t>MIP</w:t>
      </w:r>
      <w:r>
        <w:rPr>
          <w:rFonts w:ascii="Arial" w:hAnsi="Arial" w:eastAsia="Arial" w:cs="Arial"/>
          <w:color w:val="32373F"/>
          <w:spacing w:val="4"/>
        </w:rPr>
        <w:t xml:space="preserve"> </w:t>
      </w:r>
      <w:r>
        <w:rPr>
          <w:color w:val="32373F"/>
          <w:spacing w:val="4"/>
        </w:rPr>
        <w:t>响应，因而更适用于</w:t>
      </w:r>
      <w:r>
        <w:rPr>
          <w:b/>
          <w:bCs/>
          <w:color w:val="32373F"/>
          <w:spacing w:val="4"/>
        </w:rPr>
        <w:t>单元响应分析</w:t>
      </w:r>
      <w:r>
        <w:rPr>
          <w:color w:val="32373F"/>
          <w:spacing w:val="4"/>
        </w:rPr>
        <w:t>、</w:t>
      </w:r>
      <w:r>
        <w:rPr>
          <w:color w:val="32373F"/>
          <w:spacing w:val="-44"/>
        </w:rPr>
        <w:t xml:space="preserve"> </w:t>
      </w:r>
      <w:r>
        <w:rPr>
          <w:rFonts w:ascii="Arial" w:hAnsi="Arial" w:eastAsia="Arial" w:cs="Arial"/>
          <w:b/>
          <w:bCs/>
          <w:color w:val="32373F"/>
        </w:rPr>
        <w:t>MIP</w:t>
      </w:r>
      <w:r>
        <w:rPr>
          <w:rFonts w:ascii="Arial" w:hAnsi="Arial" w:eastAsia="Arial" w:cs="Arial"/>
          <w:b/>
          <w:bCs/>
          <w:color w:val="32373F"/>
          <w:spacing w:val="4"/>
        </w:rPr>
        <w:t xml:space="preserve"> </w:t>
      </w:r>
      <w:r>
        <w:rPr>
          <w:b/>
          <w:bCs/>
          <w:color w:val="32373F"/>
          <w:spacing w:val="4"/>
        </w:rPr>
        <w:t>峰位提取</w:t>
      </w:r>
      <w:r>
        <w:rPr>
          <w:color w:val="32373F"/>
          <w:spacing w:val="4"/>
        </w:rPr>
        <w:t>和</w:t>
      </w:r>
      <w:r>
        <w:rPr>
          <w:b/>
          <w:bCs/>
          <w:color w:val="32373F"/>
          <w:spacing w:val="4"/>
        </w:rPr>
        <w:t>通道稳定</w:t>
      </w:r>
      <w:r>
        <w:rPr>
          <w:b/>
          <w:bCs/>
          <w:color w:val="32373F"/>
          <w:spacing w:val="3"/>
        </w:rPr>
        <w:t>性监测</w:t>
      </w:r>
      <w:r>
        <w:rPr>
          <w:color w:val="32373F"/>
          <w:spacing w:val="3"/>
        </w:rPr>
        <w:t>。</w:t>
      </w:r>
    </w:p>
    <w:p w14:paraId="4330A388">
      <w:pPr>
        <w:spacing w:before="204" w:line="30" w:lineRule="exact"/>
      </w:pPr>
      <w:r>
        <w:drawing>
          <wp:inline distT="0" distB="0" distL="0" distR="0">
            <wp:extent cx="6572250" cy="1905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1"/>
                    <a:stretch>
                      <a:fillRect/>
                    </a:stretch>
                  </pic:blipFill>
                  <pic:spPr>
                    <a:xfrm>
                      <a:off x="0" y="0"/>
                      <a:ext cx="6572250" cy="19050"/>
                    </a:xfrm>
                    <a:prstGeom prst="rect">
                      <a:avLst/>
                    </a:prstGeom>
                  </pic:spPr>
                </pic:pic>
              </a:graphicData>
            </a:graphic>
          </wp:inline>
        </w:drawing>
      </w:r>
    </w:p>
    <w:p w14:paraId="1B3E6051">
      <w:pPr>
        <w:pStyle w:val="2"/>
        <w:spacing w:before="247" w:line="184" w:lineRule="auto"/>
        <w:ind w:left="5"/>
        <w:outlineLvl w:val="1"/>
        <w:rPr>
          <w:sz w:val="29"/>
          <w:szCs w:val="29"/>
        </w:rPr>
      </w:pPr>
      <w:r>
        <w:rPr>
          <w:rFonts w:ascii="Arial" w:hAnsi="Arial" w:eastAsia="Arial" w:cs="Arial"/>
          <w:b/>
          <w:bCs/>
          <w:color w:val="32373F"/>
          <w:spacing w:val="1"/>
          <w:sz w:val="29"/>
          <w:szCs w:val="29"/>
        </w:rPr>
        <w:t xml:space="preserve">4. </w:t>
      </w:r>
      <w:r>
        <w:rPr>
          <w:b/>
          <w:bCs/>
          <w:color w:val="32373F"/>
          <w:spacing w:val="1"/>
          <w:sz w:val="29"/>
          <w:szCs w:val="29"/>
        </w:rPr>
        <w:t>遥测数据分析</w:t>
      </w:r>
    </w:p>
    <w:p w14:paraId="19C8F63B">
      <w:pPr>
        <w:pStyle w:val="2"/>
        <w:spacing w:before="272" w:line="187" w:lineRule="auto"/>
        <w:ind w:left="14"/>
        <w:rPr>
          <w:sz w:val="24"/>
          <w:szCs w:val="24"/>
        </w:rPr>
      </w:pPr>
      <w:r>
        <w:rPr>
          <w:b/>
          <w:bCs/>
          <w:color w:val="32373F"/>
          <w:spacing w:val="6"/>
          <w:sz w:val="24"/>
          <w:szCs w:val="24"/>
        </w:rPr>
        <w:t>电流、温度等工作状态参数监测</w:t>
      </w:r>
    </w:p>
    <w:p w14:paraId="43C7624F">
      <w:pPr>
        <w:pStyle w:val="2"/>
        <w:spacing w:before="204" w:line="188" w:lineRule="auto"/>
        <w:ind w:left="6"/>
      </w:pPr>
      <w:r>
        <w:rPr>
          <w:color w:val="32373F"/>
          <w:spacing w:val="5"/>
        </w:rPr>
        <w:t xml:space="preserve">热循环试验期间，需对系统各项工作状态参数实施持续监测，主要包括 </w:t>
      </w:r>
      <w:r>
        <w:rPr>
          <w:rFonts w:ascii="Arial" w:hAnsi="Arial" w:eastAsia="Arial" w:cs="Arial"/>
          <w:color w:val="32373F"/>
        </w:rPr>
        <w:t>APD</w:t>
      </w:r>
      <w:r>
        <w:rPr>
          <w:rFonts w:ascii="Arial" w:hAnsi="Arial" w:eastAsia="Arial" w:cs="Arial"/>
          <w:color w:val="32373F"/>
          <w:spacing w:val="5"/>
        </w:rPr>
        <w:t xml:space="preserve"> </w:t>
      </w:r>
      <w:r>
        <w:rPr>
          <w:color w:val="32373F"/>
          <w:spacing w:val="5"/>
        </w:rPr>
        <w:t>高压、</w:t>
      </w:r>
      <w:r>
        <w:rPr>
          <w:color w:val="32373F"/>
          <w:spacing w:val="4"/>
        </w:rPr>
        <w:t>电源电流、温度测</w:t>
      </w:r>
    </w:p>
    <w:p w14:paraId="05695404">
      <w:pPr>
        <w:pStyle w:val="2"/>
        <w:spacing w:before="67" w:line="239" w:lineRule="auto"/>
        <w:ind w:left="3"/>
      </w:pPr>
      <w:r>
        <w:rPr>
          <w:color w:val="32373F"/>
          <w:spacing w:val="5"/>
        </w:rPr>
        <w:t>点、电子学状态量及数据采集状态等。这些参数能够直接反映系统在温度循环过程中是否处于</w:t>
      </w:r>
      <w:r>
        <w:rPr>
          <w:color w:val="32373F"/>
          <w:spacing w:val="4"/>
        </w:rPr>
        <w:t>稳定工作状</w:t>
      </w:r>
      <w:r>
        <w:rPr>
          <w:color w:val="32373F"/>
          <w:spacing w:val="-10"/>
        </w:rPr>
        <w:t>态。</w:t>
      </w:r>
    </w:p>
    <w:p w14:paraId="424D54B0">
      <w:pPr>
        <w:pStyle w:val="2"/>
        <w:spacing w:before="268" w:line="239" w:lineRule="auto"/>
        <w:ind w:left="3"/>
      </w:pPr>
      <w:r>
        <w:rPr>
          <w:b/>
          <w:bCs/>
          <w:color w:val="32373F"/>
          <w:spacing w:val="4"/>
        </w:rPr>
        <w:t>温度参数</w:t>
      </w:r>
      <w:r>
        <w:rPr>
          <w:color w:val="32373F"/>
          <w:spacing w:val="4"/>
        </w:rPr>
        <w:t>用于验证试验执行过程是否严格遵循预设温度剖面，并对各测点的温度响应情况进行实</w:t>
      </w:r>
      <w:r>
        <w:rPr>
          <w:color w:val="32373F"/>
          <w:spacing w:val="3"/>
        </w:rPr>
        <w:t>时核查。</w:t>
      </w:r>
      <w:r>
        <w:rPr>
          <w:color w:val="32373F"/>
          <w:spacing w:val="5"/>
        </w:rPr>
        <w:t>重点关注各测点之间是否存在异常温差，以及是否出现温度响应滞后现象，以确认试验箱内</w:t>
      </w:r>
      <w:r>
        <w:rPr>
          <w:color w:val="32373F"/>
          <w:spacing w:val="4"/>
        </w:rPr>
        <w:t>温场分布的均</w:t>
      </w:r>
    </w:p>
    <w:p w14:paraId="73F00FD8">
      <w:pPr>
        <w:spacing w:line="239" w:lineRule="auto"/>
        <w:sectPr>
          <w:pgSz w:w="11919" w:h="16858"/>
          <w:pgMar w:top="519" w:right="783" w:bottom="0" w:left="785" w:header="0" w:footer="0" w:gutter="0"/>
          <w:cols w:space="720" w:num="1"/>
        </w:sectPr>
      </w:pPr>
    </w:p>
    <w:p w14:paraId="2C3E61E5">
      <w:pPr>
        <w:pStyle w:val="2"/>
        <w:spacing w:before="43" w:line="187" w:lineRule="auto"/>
        <w:ind w:left="5"/>
      </w:pPr>
      <w:r>
        <w:rPr>
          <w:color w:val="32373F"/>
          <w:spacing w:val="1"/>
        </w:rPr>
        <w:t>匀性和载荷热响应的一致性。</w:t>
      </w:r>
    </w:p>
    <w:p w14:paraId="22F4C5E3">
      <w:pPr>
        <w:spacing w:line="270" w:lineRule="auto"/>
        <w:rPr>
          <w:rFonts w:ascii="Arial"/>
          <w:sz w:val="21"/>
        </w:rPr>
      </w:pPr>
    </w:p>
    <w:p w14:paraId="013DAEA8">
      <w:pPr>
        <w:pStyle w:val="2"/>
        <w:spacing w:before="94" w:line="239" w:lineRule="auto"/>
        <w:ind w:left="2" w:firstLine="11"/>
      </w:pPr>
      <w:r>
        <w:rPr>
          <w:b/>
          <w:bCs/>
          <w:color w:val="32373F"/>
          <w:spacing w:val="4"/>
        </w:rPr>
        <w:t>电流参数</w:t>
      </w:r>
      <w:r>
        <w:rPr>
          <w:color w:val="32373F"/>
          <w:spacing w:val="4"/>
        </w:rPr>
        <w:t>用于监测系统整体功耗水平及电子学工作状态的连续性。若</w:t>
      </w:r>
      <w:r>
        <w:rPr>
          <w:color w:val="32373F"/>
          <w:spacing w:val="3"/>
        </w:rPr>
        <w:t>在升降温过程中电流出现异常突变，</w:t>
      </w:r>
      <w:r>
        <w:rPr>
          <w:color w:val="32373F"/>
          <w:spacing w:val="4"/>
        </w:rPr>
        <w:t>则可能存在接触不良、局部短路、关键器件性能异常，或工作模式切换过程中的状态</w:t>
      </w:r>
      <w:r>
        <w:rPr>
          <w:color w:val="32373F"/>
          <w:spacing w:val="3"/>
        </w:rPr>
        <w:t>跳变等问题。</w:t>
      </w:r>
    </w:p>
    <w:p w14:paraId="29685FE2">
      <w:pPr>
        <w:spacing w:before="307" w:line="204" w:lineRule="auto"/>
        <w:ind w:left="16"/>
        <w:rPr>
          <w:rFonts w:ascii="Arial" w:hAnsi="Arial" w:eastAsia="Arial" w:cs="Arial"/>
          <w:sz w:val="24"/>
          <w:szCs w:val="24"/>
        </w:rPr>
      </w:pPr>
      <w:r>
        <w:rPr>
          <w:rFonts w:ascii="Arial" w:hAnsi="Arial" w:eastAsia="Arial" w:cs="Arial"/>
          <w:b/>
          <w:bCs/>
          <w:color w:val="32373F"/>
          <w:sz w:val="24"/>
          <w:szCs w:val="24"/>
        </w:rPr>
        <w:t>result</w:t>
      </w:r>
      <w:r>
        <w:rPr>
          <w:rFonts w:ascii="Arial" w:hAnsi="Arial" w:eastAsia="Arial" w:cs="Arial"/>
          <w:b/>
          <w:bCs/>
          <w:color w:val="32373F"/>
          <w:spacing w:val="6"/>
          <w:sz w:val="24"/>
          <w:szCs w:val="24"/>
        </w:rPr>
        <w:t>_</w:t>
      </w:r>
      <w:r>
        <w:rPr>
          <w:rFonts w:ascii="Arial" w:hAnsi="Arial" w:eastAsia="Arial" w:cs="Arial"/>
          <w:b/>
          <w:bCs/>
          <w:color w:val="32373F"/>
          <w:sz w:val="24"/>
          <w:szCs w:val="24"/>
        </w:rPr>
        <w:t>Calo</w:t>
      </w:r>
      <w:r>
        <w:rPr>
          <w:rFonts w:ascii="Arial" w:hAnsi="Arial" w:eastAsia="Arial" w:cs="Arial"/>
          <w:b/>
          <w:bCs/>
          <w:color w:val="32373F"/>
          <w:spacing w:val="6"/>
          <w:sz w:val="24"/>
          <w:szCs w:val="24"/>
        </w:rPr>
        <w:t>_</w:t>
      </w:r>
      <w:r>
        <w:rPr>
          <w:rFonts w:ascii="Arial" w:hAnsi="Arial" w:eastAsia="Arial" w:cs="Arial"/>
          <w:b/>
          <w:bCs/>
          <w:color w:val="32373F"/>
          <w:sz w:val="24"/>
          <w:szCs w:val="24"/>
        </w:rPr>
        <w:t>cosmic</w:t>
      </w:r>
      <w:r>
        <w:rPr>
          <w:rFonts w:ascii="Arial" w:hAnsi="Arial" w:eastAsia="Arial" w:cs="Arial"/>
          <w:b/>
          <w:bCs/>
          <w:color w:val="32373F"/>
          <w:spacing w:val="6"/>
          <w:sz w:val="24"/>
          <w:szCs w:val="24"/>
        </w:rPr>
        <w:t>_20260321_0418</w:t>
      </w:r>
    </w:p>
    <w:p w14:paraId="10CF851E">
      <w:pPr>
        <w:pStyle w:val="2"/>
        <w:spacing w:before="252" w:line="186" w:lineRule="auto"/>
        <w:ind w:left="3"/>
      </w:pPr>
      <w:r>
        <w:rPr>
          <w:b/>
          <w:bCs/>
          <w:color w:val="32373F"/>
          <w:spacing w:val="3"/>
        </w:rPr>
        <w:t>温度</w:t>
      </w:r>
    </w:p>
    <w:p w14:paraId="56240D7A">
      <w:pPr>
        <w:pStyle w:val="2"/>
        <w:spacing w:before="201" w:line="187" w:lineRule="auto"/>
        <w:ind w:left="3"/>
      </w:pPr>
      <w:r>
        <w:rPr>
          <w:color w:val="32373F"/>
          <w:spacing w:val="3"/>
        </w:rPr>
        <w:t xml:space="preserve">根据数据协议，量能器 </w:t>
      </w:r>
      <w:r>
        <w:rPr>
          <w:rFonts w:ascii="Arial" w:hAnsi="Arial" w:eastAsia="Arial" w:cs="Arial"/>
          <w:color w:val="32373F"/>
        </w:rPr>
        <w:t>FEE</w:t>
      </w:r>
      <w:r>
        <w:rPr>
          <w:rFonts w:ascii="Arial" w:hAnsi="Arial" w:eastAsia="Arial" w:cs="Arial"/>
          <w:color w:val="32373F"/>
          <w:spacing w:val="3"/>
        </w:rPr>
        <w:t xml:space="preserve"> </w:t>
      </w:r>
      <w:r>
        <w:rPr>
          <w:color w:val="32373F"/>
          <w:spacing w:val="3"/>
        </w:rPr>
        <w:t>遥测数据包中</w:t>
      </w:r>
      <w:r>
        <w:rPr>
          <w:b/>
          <w:bCs/>
          <w:color w:val="32373F"/>
          <w:spacing w:val="3"/>
        </w:rPr>
        <w:t xml:space="preserve">字节 </w:t>
      </w:r>
      <w:r>
        <w:rPr>
          <w:rFonts w:ascii="Arial" w:hAnsi="Arial" w:eastAsia="Arial" w:cs="Arial"/>
          <w:b/>
          <w:bCs/>
          <w:color w:val="32373F"/>
          <w:spacing w:val="3"/>
        </w:rPr>
        <w:t xml:space="preserve">8–15 </w:t>
      </w:r>
      <w:r>
        <w:rPr>
          <w:color w:val="32373F"/>
          <w:spacing w:val="3"/>
        </w:rPr>
        <w:t xml:space="preserve">共包含 </w:t>
      </w:r>
      <w:r>
        <w:rPr>
          <w:rFonts w:ascii="Arial" w:hAnsi="Arial" w:eastAsia="Arial" w:cs="Arial"/>
          <w:color w:val="32373F"/>
          <w:spacing w:val="3"/>
        </w:rPr>
        <w:t xml:space="preserve">4 </w:t>
      </w:r>
      <w:r>
        <w:rPr>
          <w:color w:val="32373F"/>
          <w:spacing w:val="3"/>
        </w:rPr>
        <w:t xml:space="preserve">个温度监测点，每个监测点占用 </w:t>
      </w:r>
      <w:r>
        <w:rPr>
          <w:rFonts w:ascii="Arial" w:hAnsi="Arial" w:eastAsia="Arial" w:cs="Arial"/>
          <w:color w:val="32373F"/>
          <w:spacing w:val="3"/>
        </w:rPr>
        <w:t xml:space="preserve">2 </w:t>
      </w:r>
      <w:r>
        <w:rPr>
          <w:color w:val="32373F"/>
          <w:spacing w:val="3"/>
        </w:rPr>
        <w:t>字节。</w:t>
      </w:r>
    </w:p>
    <w:p w14:paraId="20FEDF9D">
      <w:pPr>
        <w:spacing w:line="269" w:lineRule="auto"/>
        <w:rPr>
          <w:rFonts w:ascii="Arial"/>
          <w:sz w:val="21"/>
        </w:rPr>
      </w:pPr>
    </w:p>
    <w:p w14:paraId="25A2F39A">
      <w:pPr>
        <w:pStyle w:val="2"/>
        <w:spacing w:before="95" w:line="187" w:lineRule="auto"/>
        <w:ind w:left="3"/>
      </w:pPr>
      <w:r>
        <w:rPr>
          <w:color w:val="32373F"/>
          <w:spacing w:val="-1"/>
        </w:rPr>
        <w:t>具体对应关系如下：</w:t>
      </w:r>
    </w:p>
    <w:p w14:paraId="45C80EE8">
      <w:pPr>
        <w:spacing w:before="212"/>
      </w:pPr>
    </w:p>
    <w:tbl>
      <w:tblPr>
        <w:tblStyle w:val="8"/>
        <w:tblW w:w="4365" w:type="dxa"/>
        <w:tblInd w:w="7" w:type="dxa"/>
        <w:tblBorders>
          <w:top w:val="single" w:color="DCDCDC" w:sz="6" w:space="0"/>
          <w:left w:val="single" w:color="DCDCDC" w:sz="6" w:space="0"/>
          <w:bottom w:val="single" w:color="DCDCDC" w:sz="6" w:space="0"/>
          <w:right w:val="single" w:color="DCDCDC" w:sz="6" w:space="0"/>
          <w:insideH w:val="single" w:color="DCDCDC" w:sz="6" w:space="0"/>
          <w:insideV w:val="single" w:color="DCDCDC" w:sz="6" w:space="0"/>
        </w:tblBorders>
        <w:tblLayout w:type="fixed"/>
        <w:tblCellMar>
          <w:top w:w="0" w:type="dxa"/>
          <w:left w:w="0" w:type="dxa"/>
          <w:bottom w:w="0" w:type="dxa"/>
          <w:right w:w="0" w:type="dxa"/>
        </w:tblCellMar>
      </w:tblPr>
      <w:tblGrid>
        <w:gridCol w:w="1607"/>
        <w:gridCol w:w="2758"/>
      </w:tblGrid>
      <w:tr w14:paraId="42EB4265">
        <w:tblPrEx>
          <w:tblBorders>
            <w:top w:val="single" w:color="DCDCDC" w:sz="6" w:space="0"/>
            <w:left w:val="single" w:color="DCDCDC" w:sz="6" w:space="0"/>
            <w:bottom w:val="single" w:color="DCDCDC" w:sz="6" w:space="0"/>
            <w:right w:val="single" w:color="DCDCDC" w:sz="6" w:space="0"/>
            <w:insideH w:val="single" w:color="DCDCDC" w:sz="6" w:space="0"/>
            <w:insideV w:val="single" w:color="DCDCDC" w:sz="6" w:space="0"/>
          </w:tblBorders>
          <w:tblCellMar>
            <w:top w:w="0" w:type="dxa"/>
            <w:left w:w="0" w:type="dxa"/>
            <w:bottom w:w="0" w:type="dxa"/>
            <w:right w:w="0" w:type="dxa"/>
          </w:tblCellMar>
        </w:tblPrEx>
        <w:trPr>
          <w:trHeight w:val="537" w:hRule="atLeast"/>
        </w:trPr>
        <w:tc>
          <w:tcPr>
            <w:tcW w:w="1607" w:type="dxa"/>
            <w:tcBorders>
              <w:bottom w:val="single" w:color="DCDCDC" w:sz="12" w:space="0"/>
            </w:tcBorders>
            <w:shd w:val="clear" w:color="auto" w:fill="F7F7F7"/>
            <w:vAlign w:val="top"/>
          </w:tcPr>
          <w:p w14:paraId="4107B236">
            <w:pPr>
              <w:pStyle w:val="9"/>
              <w:spacing w:before="168" w:line="186" w:lineRule="auto"/>
              <w:ind w:left="349"/>
            </w:pPr>
            <w:r>
              <w:rPr>
                <w:b/>
                <w:bCs/>
                <w:color w:val="32373F"/>
                <w:spacing w:val="3"/>
              </w:rPr>
              <w:t>字节地址</w:t>
            </w:r>
          </w:p>
        </w:tc>
        <w:tc>
          <w:tcPr>
            <w:tcW w:w="2758" w:type="dxa"/>
            <w:tcBorders>
              <w:bottom w:val="single" w:color="DCDCDC" w:sz="12" w:space="0"/>
            </w:tcBorders>
            <w:shd w:val="clear" w:color="auto" w:fill="F7F7F7"/>
            <w:vAlign w:val="top"/>
          </w:tcPr>
          <w:p w14:paraId="35DF61C8">
            <w:pPr>
              <w:pStyle w:val="9"/>
              <w:spacing w:before="169" w:line="186" w:lineRule="auto"/>
              <w:ind w:left="924"/>
            </w:pPr>
            <w:r>
              <w:rPr>
                <w:b/>
                <w:bCs/>
                <w:color w:val="32373F"/>
                <w:spacing w:val="4"/>
              </w:rPr>
              <w:t>对应参数</w:t>
            </w:r>
          </w:p>
        </w:tc>
      </w:tr>
      <w:tr w14:paraId="5843A4F9">
        <w:tblPrEx>
          <w:tblBorders>
            <w:top w:val="single" w:color="DCDCDC" w:sz="6" w:space="0"/>
            <w:left w:val="single" w:color="DCDCDC" w:sz="6" w:space="0"/>
            <w:bottom w:val="single" w:color="DCDCDC" w:sz="6" w:space="0"/>
            <w:right w:val="single" w:color="DCDCDC" w:sz="6" w:space="0"/>
            <w:insideH w:val="single" w:color="DCDCDC" w:sz="6" w:space="0"/>
            <w:insideV w:val="single" w:color="DCDCDC" w:sz="6" w:space="0"/>
          </w:tblBorders>
          <w:tblCellMar>
            <w:top w:w="0" w:type="dxa"/>
            <w:left w:w="0" w:type="dxa"/>
            <w:bottom w:w="0" w:type="dxa"/>
            <w:right w:w="0" w:type="dxa"/>
          </w:tblCellMar>
        </w:tblPrEx>
        <w:trPr>
          <w:trHeight w:val="514" w:hRule="atLeast"/>
        </w:trPr>
        <w:tc>
          <w:tcPr>
            <w:tcW w:w="1607" w:type="dxa"/>
            <w:tcBorders>
              <w:top w:val="single" w:color="DCDCDC" w:sz="12" w:space="0"/>
            </w:tcBorders>
            <w:vAlign w:val="top"/>
          </w:tcPr>
          <w:p w14:paraId="65C8F829">
            <w:pPr>
              <w:pStyle w:val="9"/>
              <w:spacing w:before="114" w:line="241" w:lineRule="auto"/>
              <w:ind w:left="354"/>
              <w:rPr>
                <w:rFonts w:ascii="Arial" w:hAnsi="Arial" w:eastAsia="Arial" w:cs="Arial"/>
              </w:rPr>
            </w:pPr>
            <w:r>
              <w:rPr>
                <w:color w:val="32373F"/>
                <w:spacing w:val="1"/>
              </w:rPr>
              <w:t xml:space="preserve">字节 </w:t>
            </w:r>
            <w:r>
              <w:rPr>
                <w:rFonts w:ascii="Arial" w:hAnsi="Arial" w:eastAsia="Arial" w:cs="Arial"/>
                <w:color w:val="32373F"/>
                <w:spacing w:val="1"/>
              </w:rPr>
              <w:t>8–9</w:t>
            </w:r>
          </w:p>
        </w:tc>
        <w:tc>
          <w:tcPr>
            <w:tcW w:w="2758" w:type="dxa"/>
            <w:tcBorders>
              <w:top w:val="single" w:color="DCDCDC" w:sz="12" w:space="0"/>
            </w:tcBorders>
            <w:vAlign w:val="top"/>
          </w:tcPr>
          <w:p w14:paraId="5AF35F28">
            <w:pPr>
              <w:pStyle w:val="9"/>
              <w:spacing w:before="114" w:line="231" w:lineRule="auto"/>
              <w:ind w:left="224"/>
            </w:pPr>
            <w:r>
              <w:rPr>
                <w:color w:val="32373F"/>
                <w:spacing w:val="3"/>
              </w:rPr>
              <w:t xml:space="preserve">温度测点 </w:t>
            </w:r>
            <w:r>
              <w:rPr>
                <w:rFonts w:ascii="Arial" w:hAnsi="Arial" w:eastAsia="Arial" w:cs="Arial"/>
                <w:color w:val="32373F"/>
                <w:spacing w:val="3"/>
              </w:rPr>
              <w:t>T0</w:t>
            </w:r>
            <w:r>
              <w:rPr>
                <w:color w:val="32373F"/>
                <w:spacing w:val="3"/>
              </w:rPr>
              <w:t>（</w:t>
            </w:r>
            <w:r>
              <w:rPr>
                <w:rFonts w:ascii="Arial" w:hAnsi="Arial" w:eastAsia="Arial" w:cs="Arial"/>
                <w:color w:val="32373F"/>
              </w:rPr>
              <w:t>temp</w:t>
            </w:r>
            <w:r>
              <w:rPr>
                <w:rFonts w:ascii="Arial" w:hAnsi="Arial" w:eastAsia="Arial" w:cs="Arial"/>
                <w:color w:val="32373F"/>
                <w:spacing w:val="3"/>
              </w:rPr>
              <w:t>0</w:t>
            </w:r>
            <w:r>
              <w:rPr>
                <w:color w:val="32373F"/>
                <w:spacing w:val="3"/>
              </w:rPr>
              <w:t>）</w:t>
            </w:r>
          </w:p>
        </w:tc>
      </w:tr>
      <w:tr w14:paraId="57975CF5">
        <w:tblPrEx>
          <w:tblBorders>
            <w:top w:val="single" w:color="DCDCDC" w:sz="6" w:space="0"/>
            <w:left w:val="single" w:color="DCDCDC" w:sz="6" w:space="0"/>
            <w:bottom w:val="single" w:color="DCDCDC" w:sz="6" w:space="0"/>
            <w:right w:val="single" w:color="DCDCDC" w:sz="6" w:space="0"/>
            <w:insideH w:val="single" w:color="DCDCDC" w:sz="6" w:space="0"/>
            <w:insideV w:val="single" w:color="DCDCDC" w:sz="6" w:space="0"/>
          </w:tblBorders>
          <w:tblCellMar>
            <w:top w:w="0" w:type="dxa"/>
            <w:left w:w="0" w:type="dxa"/>
            <w:bottom w:w="0" w:type="dxa"/>
            <w:right w:w="0" w:type="dxa"/>
          </w:tblCellMar>
        </w:tblPrEx>
        <w:trPr>
          <w:trHeight w:val="522" w:hRule="atLeast"/>
        </w:trPr>
        <w:tc>
          <w:tcPr>
            <w:tcW w:w="1607" w:type="dxa"/>
            <w:shd w:val="clear" w:color="auto" w:fill="F7F7F7"/>
            <w:vAlign w:val="top"/>
          </w:tcPr>
          <w:p w14:paraId="0695FC6E">
            <w:pPr>
              <w:pStyle w:val="9"/>
              <w:spacing w:before="125" w:line="241" w:lineRule="auto"/>
              <w:ind w:left="237"/>
              <w:rPr>
                <w:rFonts w:ascii="Arial" w:hAnsi="Arial" w:eastAsia="Arial" w:cs="Arial"/>
              </w:rPr>
            </w:pPr>
            <w:r>
              <w:rPr>
                <w:color w:val="32373F"/>
                <w:spacing w:val="-2"/>
              </w:rPr>
              <w:t>字节</w:t>
            </w:r>
            <w:r>
              <w:rPr>
                <w:color w:val="32373F"/>
                <w:spacing w:val="26"/>
                <w:w w:val="101"/>
              </w:rPr>
              <w:t xml:space="preserve"> </w:t>
            </w:r>
            <w:r>
              <w:rPr>
                <w:rFonts w:ascii="Arial" w:hAnsi="Arial" w:eastAsia="Arial" w:cs="Arial"/>
                <w:color w:val="32373F"/>
                <w:spacing w:val="-2"/>
              </w:rPr>
              <w:t>10–11</w:t>
            </w:r>
          </w:p>
        </w:tc>
        <w:tc>
          <w:tcPr>
            <w:tcW w:w="2758" w:type="dxa"/>
            <w:shd w:val="clear" w:color="auto" w:fill="F7F7F7"/>
            <w:vAlign w:val="top"/>
          </w:tcPr>
          <w:p w14:paraId="7CCD08C6">
            <w:pPr>
              <w:pStyle w:val="9"/>
              <w:spacing w:before="125" w:line="231" w:lineRule="auto"/>
              <w:ind w:left="224"/>
            </w:pPr>
            <w:r>
              <w:rPr>
                <w:color w:val="32373F"/>
                <w:spacing w:val="3"/>
              </w:rPr>
              <w:t xml:space="preserve">温度测点 </w:t>
            </w:r>
            <w:r>
              <w:rPr>
                <w:rFonts w:ascii="Arial" w:hAnsi="Arial" w:eastAsia="Arial" w:cs="Arial"/>
                <w:color w:val="32373F"/>
                <w:spacing w:val="3"/>
              </w:rPr>
              <w:t>T1</w:t>
            </w:r>
            <w:r>
              <w:rPr>
                <w:color w:val="32373F"/>
                <w:spacing w:val="3"/>
              </w:rPr>
              <w:t>（</w:t>
            </w:r>
            <w:r>
              <w:rPr>
                <w:rFonts w:ascii="Arial" w:hAnsi="Arial" w:eastAsia="Arial" w:cs="Arial"/>
                <w:color w:val="32373F"/>
              </w:rPr>
              <w:t>temp</w:t>
            </w:r>
            <w:r>
              <w:rPr>
                <w:rFonts w:ascii="Arial" w:hAnsi="Arial" w:eastAsia="Arial" w:cs="Arial"/>
                <w:color w:val="32373F"/>
                <w:spacing w:val="3"/>
              </w:rPr>
              <w:t>1</w:t>
            </w:r>
            <w:r>
              <w:rPr>
                <w:color w:val="32373F"/>
                <w:spacing w:val="3"/>
              </w:rPr>
              <w:t>）</w:t>
            </w:r>
          </w:p>
        </w:tc>
      </w:tr>
      <w:tr w14:paraId="4EB4C135">
        <w:tblPrEx>
          <w:tblBorders>
            <w:top w:val="single" w:color="DCDCDC" w:sz="6" w:space="0"/>
            <w:left w:val="single" w:color="DCDCDC" w:sz="6" w:space="0"/>
            <w:bottom w:val="single" w:color="DCDCDC" w:sz="6" w:space="0"/>
            <w:right w:val="single" w:color="DCDCDC" w:sz="6" w:space="0"/>
            <w:insideH w:val="single" w:color="DCDCDC" w:sz="6" w:space="0"/>
            <w:insideV w:val="single" w:color="DCDCDC" w:sz="6" w:space="0"/>
          </w:tblBorders>
          <w:tblCellMar>
            <w:top w:w="0" w:type="dxa"/>
            <w:left w:w="0" w:type="dxa"/>
            <w:bottom w:w="0" w:type="dxa"/>
            <w:right w:w="0" w:type="dxa"/>
          </w:tblCellMar>
        </w:tblPrEx>
        <w:trPr>
          <w:trHeight w:val="522" w:hRule="atLeast"/>
        </w:trPr>
        <w:tc>
          <w:tcPr>
            <w:tcW w:w="1607" w:type="dxa"/>
            <w:vAlign w:val="top"/>
          </w:tcPr>
          <w:p w14:paraId="173BE91B">
            <w:pPr>
              <w:pStyle w:val="9"/>
              <w:spacing w:before="128" w:line="241" w:lineRule="auto"/>
              <w:ind w:left="229"/>
              <w:rPr>
                <w:rFonts w:ascii="Arial" w:hAnsi="Arial" w:eastAsia="Arial" w:cs="Arial"/>
              </w:rPr>
            </w:pPr>
            <w:r>
              <w:rPr>
                <w:color w:val="32373F"/>
                <w:spacing w:val="-1"/>
              </w:rPr>
              <w:t>字节</w:t>
            </w:r>
            <w:r>
              <w:rPr>
                <w:color w:val="32373F"/>
                <w:spacing w:val="22"/>
              </w:rPr>
              <w:t xml:space="preserve"> </w:t>
            </w:r>
            <w:r>
              <w:rPr>
                <w:rFonts w:ascii="Arial" w:hAnsi="Arial" w:eastAsia="Arial" w:cs="Arial"/>
                <w:color w:val="32373F"/>
                <w:spacing w:val="-1"/>
              </w:rPr>
              <w:t>12–13</w:t>
            </w:r>
          </w:p>
        </w:tc>
        <w:tc>
          <w:tcPr>
            <w:tcW w:w="2758" w:type="dxa"/>
            <w:vAlign w:val="top"/>
          </w:tcPr>
          <w:p w14:paraId="41F6F1D8">
            <w:pPr>
              <w:pStyle w:val="9"/>
              <w:spacing w:before="128" w:line="231" w:lineRule="auto"/>
              <w:ind w:left="224"/>
            </w:pPr>
            <w:r>
              <w:rPr>
                <w:color w:val="32373F"/>
                <w:spacing w:val="3"/>
              </w:rPr>
              <w:t xml:space="preserve">温度测点 </w:t>
            </w:r>
            <w:r>
              <w:rPr>
                <w:rFonts w:ascii="Arial" w:hAnsi="Arial" w:eastAsia="Arial" w:cs="Arial"/>
                <w:color w:val="32373F"/>
                <w:spacing w:val="3"/>
              </w:rPr>
              <w:t>T2</w:t>
            </w:r>
            <w:r>
              <w:rPr>
                <w:color w:val="32373F"/>
                <w:spacing w:val="3"/>
              </w:rPr>
              <w:t>（</w:t>
            </w:r>
            <w:r>
              <w:rPr>
                <w:rFonts w:ascii="Arial" w:hAnsi="Arial" w:eastAsia="Arial" w:cs="Arial"/>
                <w:color w:val="32373F"/>
              </w:rPr>
              <w:t>temp</w:t>
            </w:r>
            <w:r>
              <w:rPr>
                <w:rFonts w:ascii="Arial" w:hAnsi="Arial" w:eastAsia="Arial" w:cs="Arial"/>
                <w:color w:val="32373F"/>
                <w:spacing w:val="3"/>
              </w:rPr>
              <w:t>2</w:t>
            </w:r>
            <w:r>
              <w:rPr>
                <w:color w:val="32373F"/>
                <w:spacing w:val="3"/>
              </w:rPr>
              <w:t>）</w:t>
            </w:r>
          </w:p>
        </w:tc>
      </w:tr>
      <w:tr w14:paraId="695A01F5">
        <w:tblPrEx>
          <w:tblBorders>
            <w:top w:val="single" w:color="DCDCDC" w:sz="6" w:space="0"/>
            <w:left w:val="single" w:color="DCDCDC" w:sz="6" w:space="0"/>
            <w:bottom w:val="single" w:color="DCDCDC" w:sz="6" w:space="0"/>
            <w:right w:val="single" w:color="DCDCDC" w:sz="6" w:space="0"/>
            <w:insideH w:val="single" w:color="DCDCDC" w:sz="6" w:space="0"/>
            <w:insideV w:val="single" w:color="DCDCDC" w:sz="6" w:space="0"/>
          </w:tblBorders>
          <w:tblCellMar>
            <w:top w:w="0" w:type="dxa"/>
            <w:left w:w="0" w:type="dxa"/>
            <w:bottom w:w="0" w:type="dxa"/>
            <w:right w:w="0" w:type="dxa"/>
          </w:tblCellMar>
        </w:tblPrEx>
        <w:trPr>
          <w:trHeight w:val="530" w:hRule="atLeast"/>
        </w:trPr>
        <w:tc>
          <w:tcPr>
            <w:tcW w:w="1607" w:type="dxa"/>
            <w:shd w:val="clear" w:color="auto" w:fill="F7F7F7"/>
            <w:vAlign w:val="top"/>
          </w:tcPr>
          <w:p w14:paraId="025C1194">
            <w:pPr>
              <w:pStyle w:val="9"/>
              <w:spacing w:before="131" w:line="241" w:lineRule="auto"/>
              <w:ind w:left="229"/>
              <w:rPr>
                <w:rFonts w:ascii="Arial" w:hAnsi="Arial" w:eastAsia="Arial" w:cs="Arial"/>
              </w:rPr>
            </w:pPr>
            <w:r>
              <w:rPr>
                <w:color w:val="32373F"/>
                <w:spacing w:val="-1"/>
              </w:rPr>
              <w:t>字节</w:t>
            </w:r>
            <w:r>
              <w:rPr>
                <w:color w:val="32373F"/>
                <w:spacing w:val="22"/>
              </w:rPr>
              <w:t xml:space="preserve"> </w:t>
            </w:r>
            <w:r>
              <w:rPr>
                <w:rFonts w:ascii="Arial" w:hAnsi="Arial" w:eastAsia="Arial" w:cs="Arial"/>
                <w:color w:val="32373F"/>
                <w:spacing w:val="-1"/>
              </w:rPr>
              <w:t>14–15</w:t>
            </w:r>
          </w:p>
        </w:tc>
        <w:tc>
          <w:tcPr>
            <w:tcW w:w="2758" w:type="dxa"/>
            <w:shd w:val="clear" w:color="auto" w:fill="F7F7F7"/>
            <w:vAlign w:val="top"/>
          </w:tcPr>
          <w:p w14:paraId="2C91225C">
            <w:pPr>
              <w:pStyle w:val="9"/>
              <w:spacing w:before="131" w:line="231" w:lineRule="auto"/>
              <w:ind w:left="224"/>
            </w:pPr>
            <w:r>
              <w:rPr>
                <w:color w:val="32373F"/>
                <w:spacing w:val="3"/>
              </w:rPr>
              <w:t xml:space="preserve">温度测点 </w:t>
            </w:r>
            <w:r>
              <w:rPr>
                <w:rFonts w:ascii="Arial" w:hAnsi="Arial" w:eastAsia="Arial" w:cs="Arial"/>
                <w:color w:val="32373F"/>
                <w:spacing w:val="3"/>
              </w:rPr>
              <w:t>T3</w:t>
            </w:r>
            <w:r>
              <w:rPr>
                <w:color w:val="32373F"/>
                <w:spacing w:val="3"/>
              </w:rPr>
              <w:t>（</w:t>
            </w:r>
            <w:r>
              <w:rPr>
                <w:rFonts w:ascii="Arial" w:hAnsi="Arial" w:eastAsia="Arial" w:cs="Arial"/>
                <w:color w:val="32373F"/>
              </w:rPr>
              <w:t>temp</w:t>
            </w:r>
            <w:r>
              <w:rPr>
                <w:rFonts w:ascii="Arial" w:hAnsi="Arial" w:eastAsia="Arial" w:cs="Arial"/>
                <w:color w:val="32373F"/>
                <w:spacing w:val="3"/>
              </w:rPr>
              <w:t>3</w:t>
            </w:r>
            <w:r>
              <w:rPr>
                <w:color w:val="32373F"/>
                <w:spacing w:val="3"/>
              </w:rPr>
              <w:t>）</w:t>
            </w:r>
          </w:p>
        </w:tc>
      </w:tr>
    </w:tbl>
    <w:p w14:paraId="4D93082F">
      <w:pPr>
        <w:spacing w:line="266" w:lineRule="auto"/>
        <w:rPr>
          <w:rFonts w:ascii="Arial"/>
          <w:sz w:val="21"/>
        </w:rPr>
      </w:pPr>
    </w:p>
    <w:p w14:paraId="2B86E990">
      <w:pPr>
        <w:pStyle w:val="2"/>
        <w:spacing w:before="94" w:line="239" w:lineRule="auto"/>
        <w:ind w:left="3" w:right="14" w:hanging="2"/>
        <w:jc w:val="both"/>
      </w:pPr>
      <w:r>
        <w:rPr>
          <w:color w:val="32373F"/>
          <w:spacing w:val="8"/>
        </w:rPr>
        <w:t xml:space="preserve">各测点原始数据格式均为 </w:t>
      </w:r>
      <w:r>
        <w:rPr>
          <w:color w:val="32373F"/>
          <w:spacing w:val="8"/>
          <w:shd w:val="clear" w:fill="F3F3F3"/>
        </w:rPr>
        <w:t xml:space="preserve"> </w:t>
      </w:r>
      <w:r>
        <w:rPr>
          <w:rFonts w:ascii="新宋体" w:hAnsi="新宋体" w:eastAsia="新宋体" w:cs="新宋体"/>
          <w:spacing w:val="8"/>
          <w:sz w:val="20"/>
          <w:szCs w:val="20"/>
          <w:shd w:val="clear" w:fill="F3F3F3"/>
        </w:rPr>
        <w:t xml:space="preserve">4b1000 + </w:t>
      </w:r>
      <w:r>
        <w:rPr>
          <w:rFonts w:ascii="新宋体" w:hAnsi="新宋体" w:eastAsia="新宋体" w:cs="新宋体"/>
          <w:sz w:val="20"/>
          <w:szCs w:val="20"/>
          <w:shd w:val="clear" w:fill="F3F3F3"/>
        </w:rPr>
        <w:t>temp</w:t>
      </w:r>
      <w:r>
        <w:rPr>
          <w:rFonts w:ascii="新宋体" w:hAnsi="新宋体" w:eastAsia="新宋体" w:cs="新宋体"/>
          <w:spacing w:val="-56"/>
          <w:sz w:val="20"/>
          <w:szCs w:val="20"/>
          <w:shd w:val="clear" w:fill="F3F3F3"/>
        </w:rPr>
        <w:t xml:space="preserve"> </w:t>
      </w:r>
      <w:r>
        <w:rPr>
          <w:rFonts w:ascii="新宋体" w:hAnsi="新宋体" w:eastAsia="新宋体" w:cs="新宋体"/>
          <w:spacing w:val="8"/>
          <w:sz w:val="20"/>
          <w:szCs w:val="20"/>
          <w:shd w:val="clear" w:fill="F3F3F3"/>
        </w:rPr>
        <w:t>[11</w:t>
      </w:r>
      <w:r>
        <w:rPr>
          <w:rFonts w:ascii="新宋体" w:hAnsi="新宋体" w:eastAsia="新宋体" w:cs="新宋体"/>
          <w:spacing w:val="-59"/>
          <w:sz w:val="20"/>
          <w:szCs w:val="20"/>
          <w:shd w:val="clear" w:fill="F3F3F3"/>
        </w:rPr>
        <w:t xml:space="preserve"> </w:t>
      </w:r>
      <w:r>
        <w:rPr>
          <w:rFonts w:ascii="新宋体" w:hAnsi="新宋体" w:eastAsia="新宋体" w:cs="新宋体"/>
          <w:spacing w:val="8"/>
          <w:sz w:val="20"/>
          <w:szCs w:val="20"/>
          <w:shd w:val="clear" w:fill="F3F3F3"/>
        </w:rPr>
        <w:t xml:space="preserve">:0] </w:t>
      </w:r>
      <w:r>
        <w:rPr>
          <w:color w:val="32373F"/>
          <w:spacing w:val="8"/>
        </w:rPr>
        <w:t>，并通过统一转换公式换算为摄氏度</w:t>
      </w:r>
      <w:r>
        <w:rPr>
          <w:color w:val="32373F"/>
          <w:spacing w:val="7"/>
        </w:rPr>
        <w:t>(℃)。本次共绘制</w:t>
      </w:r>
      <w:r>
        <w:rPr>
          <w:rFonts w:ascii="Arial" w:hAnsi="Arial" w:eastAsia="Arial" w:cs="Arial"/>
          <w:color w:val="32373F"/>
        </w:rPr>
        <w:t>FEE</w:t>
      </w:r>
      <w:r>
        <w:rPr>
          <w:rFonts w:ascii="Arial" w:hAnsi="Arial" w:eastAsia="Arial" w:cs="Arial"/>
          <w:color w:val="32373F"/>
          <w:spacing w:val="2"/>
        </w:rPr>
        <w:t>5</w:t>
      </w:r>
      <w:r>
        <w:rPr>
          <w:color w:val="32373F"/>
          <w:spacing w:val="2"/>
        </w:rPr>
        <w:t>、</w:t>
      </w:r>
      <w:r>
        <w:rPr>
          <w:color w:val="32373F"/>
          <w:spacing w:val="-23"/>
        </w:rPr>
        <w:t xml:space="preserve"> </w:t>
      </w:r>
      <w:r>
        <w:rPr>
          <w:rFonts w:ascii="Arial" w:hAnsi="Arial" w:eastAsia="Arial" w:cs="Arial"/>
          <w:color w:val="32373F"/>
        </w:rPr>
        <w:t>FEE</w:t>
      </w:r>
      <w:r>
        <w:rPr>
          <w:rFonts w:ascii="Arial" w:hAnsi="Arial" w:eastAsia="Arial" w:cs="Arial"/>
          <w:color w:val="32373F"/>
          <w:spacing w:val="2"/>
        </w:rPr>
        <w:t>6</w:t>
      </w:r>
      <w:r>
        <w:rPr>
          <w:color w:val="32373F"/>
          <w:spacing w:val="2"/>
        </w:rPr>
        <w:t>、</w:t>
      </w:r>
      <w:r>
        <w:rPr>
          <w:color w:val="32373F"/>
          <w:spacing w:val="-41"/>
        </w:rPr>
        <w:t xml:space="preserve"> </w:t>
      </w:r>
      <w:r>
        <w:rPr>
          <w:rFonts w:ascii="Arial" w:hAnsi="Arial" w:eastAsia="Arial" w:cs="Arial"/>
          <w:color w:val="32373F"/>
        </w:rPr>
        <w:t>FEE</w:t>
      </w:r>
      <w:r>
        <w:rPr>
          <w:rFonts w:ascii="Arial" w:hAnsi="Arial" w:eastAsia="Arial" w:cs="Arial"/>
          <w:color w:val="32373F"/>
          <w:spacing w:val="2"/>
        </w:rPr>
        <w:t>7</w:t>
      </w:r>
      <w:r>
        <w:rPr>
          <w:color w:val="32373F"/>
          <w:spacing w:val="2"/>
        </w:rPr>
        <w:t>、</w:t>
      </w:r>
      <w:r>
        <w:rPr>
          <w:color w:val="32373F"/>
          <w:spacing w:val="-41"/>
        </w:rPr>
        <w:t xml:space="preserve"> </w:t>
      </w:r>
      <w:r>
        <w:rPr>
          <w:rFonts w:ascii="Arial" w:hAnsi="Arial" w:eastAsia="Arial" w:cs="Arial"/>
          <w:color w:val="32373F"/>
        </w:rPr>
        <w:t>FEE</w:t>
      </w:r>
      <w:r>
        <w:rPr>
          <w:rFonts w:ascii="Arial" w:hAnsi="Arial" w:eastAsia="Arial" w:cs="Arial"/>
          <w:color w:val="32373F"/>
          <w:spacing w:val="2"/>
        </w:rPr>
        <w:t>8</w:t>
      </w:r>
      <w:r>
        <w:rPr>
          <w:rFonts w:ascii="Arial" w:hAnsi="Arial" w:eastAsia="Arial" w:cs="Arial"/>
          <w:color w:val="32373F"/>
          <w:spacing w:val="23"/>
        </w:rPr>
        <w:t xml:space="preserve"> </w:t>
      </w:r>
      <w:r>
        <w:rPr>
          <w:color w:val="32373F"/>
          <w:spacing w:val="2"/>
        </w:rPr>
        <w:t xml:space="preserve">四块前端电子学板的温度遥测结果，每张图包含对应板卡的 </w:t>
      </w:r>
      <w:r>
        <w:rPr>
          <w:rFonts w:ascii="Arial" w:hAnsi="Arial" w:eastAsia="Arial" w:cs="Arial"/>
          <w:color w:val="32373F"/>
          <w:spacing w:val="2"/>
        </w:rPr>
        <w:t>T0–T3</w:t>
      </w:r>
      <w:r>
        <w:rPr>
          <w:rFonts w:ascii="Arial" w:hAnsi="Arial" w:eastAsia="Arial" w:cs="Arial"/>
          <w:color w:val="32373F"/>
          <w:spacing w:val="22"/>
          <w:w w:val="101"/>
        </w:rPr>
        <w:t xml:space="preserve"> </w:t>
      </w:r>
      <w:r>
        <w:rPr>
          <w:color w:val="32373F"/>
          <w:spacing w:val="2"/>
        </w:rPr>
        <w:t>四个测</w:t>
      </w:r>
      <w:r>
        <w:rPr>
          <w:color w:val="32373F"/>
          <w:spacing w:val="12"/>
        </w:rPr>
        <w:t>点，横轴为解码顺序下的数据行索引（</w:t>
      </w:r>
      <w:r>
        <w:rPr>
          <w:rFonts w:ascii="Arial" w:hAnsi="Arial" w:eastAsia="Arial" w:cs="Arial"/>
          <w:color w:val="32373F"/>
        </w:rPr>
        <w:t>hkTree</w:t>
      </w:r>
      <w:r>
        <w:rPr>
          <w:rFonts w:ascii="Arial" w:hAnsi="Arial" w:eastAsia="Arial" w:cs="Arial"/>
          <w:color w:val="32373F"/>
          <w:spacing w:val="12"/>
        </w:rPr>
        <w:t xml:space="preserve"> </w:t>
      </w:r>
      <w:r>
        <w:rPr>
          <w:rFonts w:ascii="Arial" w:hAnsi="Arial" w:eastAsia="Arial" w:cs="Arial"/>
          <w:color w:val="32373F"/>
        </w:rPr>
        <w:t>row</w:t>
      </w:r>
      <w:r>
        <w:rPr>
          <w:rFonts w:ascii="Arial" w:hAnsi="Arial" w:eastAsia="Arial" w:cs="Arial"/>
          <w:color w:val="32373F"/>
          <w:spacing w:val="12"/>
        </w:rPr>
        <w:t xml:space="preserve"> </w:t>
      </w:r>
      <w:r>
        <w:rPr>
          <w:rFonts w:ascii="Arial" w:hAnsi="Arial" w:eastAsia="Arial" w:cs="Arial"/>
          <w:color w:val="32373F"/>
        </w:rPr>
        <w:t>index</w:t>
      </w:r>
      <w:r>
        <w:rPr>
          <w:color w:val="32373F"/>
          <w:spacing w:val="22"/>
        </w:rPr>
        <w:t>），</w:t>
      </w:r>
      <w:r>
        <w:rPr>
          <w:color w:val="32373F"/>
          <w:spacing w:val="12"/>
        </w:rPr>
        <w:t>纵轴为换算后的温度值(</w:t>
      </w:r>
      <w:r>
        <w:rPr>
          <w:color w:val="32373F"/>
          <w:spacing w:val="11"/>
        </w:rPr>
        <w:t>℃)。</w:t>
      </w:r>
    </w:p>
    <w:p w14:paraId="78173E8A">
      <w:pPr>
        <w:pStyle w:val="2"/>
        <w:spacing w:before="254" w:line="239" w:lineRule="auto"/>
        <w:ind w:left="6" w:right="65" w:hanging="4"/>
      </w:pPr>
      <w:r>
        <w:rPr>
          <w:color w:val="32373F"/>
          <w:spacing w:val="5"/>
        </w:rPr>
        <w:t xml:space="preserve">从各板卡图像来看，四块 </w:t>
      </w:r>
      <w:r>
        <w:rPr>
          <w:rFonts w:ascii="Arial" w:hAnsi="Arial" w:eastAsia="Arial" w:cs="Arial"/>
          <w:color w:val="32373F"/>
        </w:rPr>
        <w:t>FEE</w:t>
      </w:r>
      <w:r>
        <w:rPr>
          <w:rFonts w:ascii="Arial" w:hAnsi="Arial" w:eastAsia="Arial" w:cs="Arial"/>
          <w:color w:val="32373F"/>
          <w:spacing w:val="5"/>
        </w:rPr>
        <w:t xml:space="preserve"> </w:t>
      </w:r>
      <w:r>
        <w:rPr>
          <w:color w:val="32373F"/>
          <w:spacing w:val="5"/>
        </w:rPr>
        <w:t>的温度变化规律总体一致，均呈现出</w:t>
      </w:r>
      <w:r>
        <w:rPr>
          <w:b/>
          <w:bCs/>
          <w:color w:val="32373F"/>
          <w:spacing w:val="5"/>
        </w:rPr>
        <w:t>升温初期快速上升、随后</w:t>
      </w:r>
      <w:r>
        <w:rPr>
          <w:b/>
          <w:bCs/>
          <w:color w:val="32373F"/>
          <w:spacing w:val="4"/>
        </w:rPr>
        <w:t>趋于平稳</w:t>
      </w:r>
      <w:r>
        <w:rPr>
          <w:color w:val="32373F"/>
          <w:spacing w:val="4"/>
        </w:rPr>
        <w:t>的</w:t>
      </w:r>
      <w:r>
        <w:rPr>
          <w:color w:val="32373F"/>
          <w:spacing w:val="3"/>
        </w:rPr>
        <w:t>热弛豫特征，与高温升温阶段的预期行为相符。具体来看：</w:t>
      </w:r>
    </w:p>
    <w:p w14:paraId="0D29A663">
      <w:pPr>
        <w:pStyle w:val="2"/>
        <w:spacing w:before="266" w:line="228" w:lineRule="auto"/>
        <w:ind w:left="4" w:right="125"/>
        <w:jc w:val="both"/>
      </w:pPr>
      <w:r>
        <w:rPr>
          <w:rFonts w:ascii="Arial" w:hAnsi="Arial" w:eastAsia="Arial" w:cs="Arial"/>
          <w:b/>
          <w:bCs/>
          <w:color w:val="32373F"/>
          <w:spacing w:val="1"/>
        </w:rPr>
        <w:t xml:space="preserve">T0 </w:t>
      </w:r>
      <w:r>
        <w:rPr>
          <w:b/>
          <w:bCs/>
          <w:color w:val="32373F"/>
          <w:spacing w:val="1"/>
        </w:rPr>
        <w:t>测点</w:t>
      </w:r>
      <w:r>
        <w:rPr>
          <w:color w:val="32373F"/>
          <w:spacing w:val="1"/>
        </w:rPr>
        <w:t>在四块板卡中均表现出明显的升温过程，但起始温度略有差异：</w:t>
      </w:r>
      <w:r>
        <w:rPr>
          <w:color w:val="32373F"/>
          <w:spacing w:val="21"/>
          <w:w w:val="101"/>
        </w:rPr>
        <w:t xml:space="preserve">  </w:t>
      </w:r>
      <w:r>
        <w:rPr>
          <w:rFonts w:ascii="Arial" w:hAnsi="Arial" w:eastAsia="Arial" w:cs="Arial"/>
          <w:color w:val="32373F"/>
        </w:rPr>
        <w:t>FEE</w:t>
      </w:r>
      <w:r>
        <w:rPr>
          <w:rFonts w:ascii="Arial" w:hAnsi="Arial" w:eastAsia="Arial" w:cs="Arial"/>
          <w:color w:val="32373F"/>
          <w:spacing w:val="1"/>
        </w:rPr>
        <w:t xml:space="preserve">5 </w:t>
      </w:r>
      <w:r>
        <w:rPr>
          <w:color w:val="32373F"/>
          <w:spacing w:val="1"/>
        </w:rPr>
        <w:t xml:space="preserve">和 </w:t>
      </w:r>
      <w:r>
        <w:rPr>
          <w:rFonts w:ascii="Arial" w:hAnsi="Arial" w:eastAsia="Arial" w:cs="Arial"/>
          <w:color w:val="32373F"/>
        </w:rPr>
        <w:t>FEE</w:t>
      </w:r>
      <w:r>
        <w:rPr>
          <w:rFonts w:ascii="Arial" w:hAnsi="Arial" w:eastAsia="Arial" w:cs="Arial"/>
          <w:color w:val="32373F"/>
          <w:spacing w:val="1"/>
        </w:rPr>
        <w:t>7</w:t>
      </w:r>
      <w:r>
        <w:rPr>
          <w:rFonts w:ascii="Arial" w:hAnsi="Arial" w:eastAsia="Arial" w:cs="Arial"/>
          <w:color w:val="32373F"/>
        </w:rPr>
        <w:t xml:space="preserve"> </w:t>
      </w:r>
      <w:r>
        <w:rPr>
          <w:color w:val="32373F"/>
        </w:rPr>
        <w:t xml:space="preserve">的 </w:t>
      </w:r>
      <w:r>
        <w:rPr>
          <w:rFonts w:ascii="Arial" w:hAnsi="Arial" w:eastAsia="Arial" w:cs="Arial"/>
          <w:color w:val="32373F"/>
        </w:rPr>
        <w:t xml:space="preserve">T0 </w:t>
      </w:r>
      <w:r>
        <w:rPr>
          <w:color w:val="32373F"/>
        </w:rPr>
        <w:t>起始温度</w:t>
      </w:r>
      <w:r>
        <w:rPr>
          <w:color w:val="32373F"/>
          <w:spacing w:val="7"/>
        </w:rPr>
        <w:t xml:space="preserve">约为 </w:t>
      </w:r>
      <w:r>
        <w:rPr>
          <w:rFonts w:ascii="Arial" w:hAnsi="Arial" w:eastAsia="Arial" w:cs="Arial"/>
          <w:color w:val="32373F"/>
          <w:spacing w:val="7"/>
        </w:rPr>
        <w:t xml:space="preserve">20–23 </w:t>
      </w:r>
      <w:r>
        <w:rPr>
          <w:color w:val="32373F"/>
          <w:spacing w:val="7"/>
        </w:rPr>
        <w:t>℃,升温幅度较大；</w:t>
      </w:r>
      <w:r>
        <w:rPr>
          <w:color w:val="32373F"/>
          <w:spacing w:val="21"/>
        </w:rPr>
        <w:t xml:space="preserve">  </w:t>
      </w:r>
      <w:r>
        <w:rPr>
          <w:rFonts w:ascii="Arial" w:hAnsi="Arial" w:eastAsia="Arial" w:cs="Arial"/>
          <w:color w:val="32373F"/>
        </w:rPr>
        <w:t>FEE</w:t>
      </w:r>
      <w:r>
        <w:rPr>
          <w:rFonts w:ascii="Arial" w:hAnsi="Arial" w:eastAsia="Arial" w:cs="Arial"/>
          <w:color w:val="32373F"/>
          <w:spacing w:val="7"/>
        </w:rPr>
        <w:t xml:space="preserve">6 </w:t>
      </w:r>
      <w:r>
        <w:rPr>
          <w:color w:val="32373F"/>
          <w:spacing w:val="7"/>
        </w:rPr>
        <w:t xml:space="preserve">和 </w:t>
      </w:r>
      <w:r>
        <w:rPr>
          <w:rFonts w:ascii="Arial" w:hAnsi="Arial" w:eastAsia="Arial" w:cs="Arial"/>
          <w:color w:val="32373F"/>
        </w:rPr>
        <w:t>FEE</w:t>
      </w:r>
      <w:r>
        <w:rPr>
          <w:rFonts w:ascii="Arial" w:hAnsi="Arial" w:eastAsia="Arial" w:cs="Arial"/>
          <w:color w:val="32373F"/>
          <w:spacing w:val="7"/>
        </w:rPr>
        <w:t xml:space="preserve">8 </w:t>
      </w:r>
      <w:r>
        <w:rPr>
          <w:color w:val="32373F"/>
          <w:spacing w:val="7"/>
        </w:rPr>
        <w:t xml:space="preserve">的 </w:t>
      </w:r>
      <w:r>
        <w:rPr>
          <w:rFonts w:ascii="Arial" w:hAnsi="Arial" w:eastAsia="Arial" w:cs="Arial"/>
          <w:color w:val="32373F"/>
          <w:spacing w:val="7"/>
        </w:rPr>
        <w:t xml:space="preserve">T0 </w:t>
      </w:r>
      <w:r>
        <w:rPr>
          <w:color w:val="32373F"/>
          <w:spacing w:val="7"/>
        </w:rPr>
        <w:t xml:space="preserve">起始温度约为 </w:t>
      </w:r>
      <w:r>
        <w:rPr>
          <w:rFonts w:ascii="Arial" w:hAnsi="Arial" w:eastAsia="Arial" w:cs="Arial"/>
          <w:color w:val="32373F"/>
          <w:spacing w:val="7"/>
        </w:rPr>
        <w:t xml:space="preserve">30–33 </w:t>
      </w:r>
      <w:r>
        <w:rPr>
          <w:color w:val="32373F"/>
          <w:spacing w:val="6"/>
        </w:rPr>
        <w:t>℃,升温相对平缓。四块板</w:t>
      </w:r>
      <w:r>
        <w:rPr>
          <w:color w:val="32373F"/>
          <w:spacing w:val="2"/>
        </w:rPr>
        <w:t xml:space="preserve">卡的 </w:t>
      </w:r>
      <w:r>
        <w:rPr>
          <w:rFonts w:ascii="Arial" w:hAnsi="Arial" w:eastAsia="Arial" w:cs="Arial"/>
          <w:color w:val="32373F"/>
          <w:spacing w:val="2"/>
        </w:rPr>
        <w:t xml:space="preserve">T0 </w:t>
      </w:r>
      <w:r>
        <w:rPr>
          <w:color w:val="32373F"/>
          <w:spacing w:val="2"/>
        </w:rPr>
        <w:t xml:space="preserve">最终均趋近于约 </w:t>
      </w:r>
      <w:r>
        <w:rPr>
          <w:rFonts w:ascii="Arial" w:hAnsi="Arial" w:eastAsia="Arial" w:cs="Arial"/>
          <w:color w:val="32373F"/>
          <w:spacing w:val="2"/>
        </w:rPr>
        <w:t xml:space="preserve">37–39 </w:t>
      </w:r>
      <w:r>
        <w:rPr>
          <w:color w:val="32373F"/>
          <w:spacing w:val="2"/>
        </w:rPr>
        <w:t>℃。</w:t>
      </w:r>
    </w:p>
    <w:p w14:paraId="0ACED18F">
      <w:pPr>
        <w:pStyle w:val="2"/>
        <w:spacing w:before="265" w:line="231" w:lineRule="auto"/>
        <w:ind w:left="2" w:right="51" w:firstLine="2"/>
        <w:jc w:val="both"/>
      </w:pPr>
      <w:r>
        <w:rPr>
          <w:rFonts w:ascii="Arial" w:hAnsi="Arial" w:eastAsia="Arial" w:cs="Arial"/>
          <w:b/>
          <w:bCs/>
          <w:color w:val="32373F"/>
          <w:spacing w:val="8"/>
        </w:rPr>
        <w:t xml:space="preserve">T1 </w:t>
      </w:r>
      <w:r>
        <w:rPr>
          <w:b/>
          <w:bCs/>
          <w:color w:val="32373F"/>
          <w:spacing w:val="8"/>
        </w:rPr>
        <w:t>测点</w:t>
      </w:r>
      <w:r>
        <w:rPr>
          <w:color w:val="32373F"/>
          <w:spacing w:val="8"/>
        </w:rPr>
        <w:t xml:space="preserve">的行为与 </w:t>
      </w:r>
      <w:r>
        <w:rPr>
          <w:rFonts w:ascii="Arial" w:hAnsi="Arial" w:eastAsia="Arial" w:cs="Arial"/>
          <w:color w:val="32373F"/>
          <w:spacing w:val="8"/>
        </w:rPr>
        <w:t xml:space="preserve">T0 </w:t>
      </w:r>
      <w:r>
        <w:rPr>
          <w:color w:val="32373F"/>
          <w:spacing w:val="8"/>
        </w:rPr>
        <w:t xml:space="preserve">类似，起始温度约 </w:t>
      </w:r>
      <w:r>
        <w:rPr>
          <w:rFonts w:ascii="Arial" w:hAnsi="Arial" w:eastAsia="Arial" w:cs="Arial"/>
          <w:color w:val="32373F"/>
          <w:spacing w:val="8"/>
        </w:rPr>
        <w:t xml:space="preserve">20–33 </w:t>
      </w:r>
      <w:r>
        <w:rPr>
          <w:color w:val="32373F"/>
          <w:spacing w:val="8"/>
        </w:rPr>
        <w:t>℃,同样呈现先快后慢的升温趋势，最终稳定在约</w:t>
      </w:r>
      <w:r>
        <w:rPr>
          <w:rFonts w:ascii="Arial" w:hAnsi="Arial" w:eastAsia="Arial" w:cs="Arial"/>
          <w:color w:val="32373F"/>
          <w:spacing w:val="8"/>
        </w:rPr>
        <w:t>37–39</w:t>
      </w:r>
      <w:r>
        <w:rPr>
          <w:rFonts w:ascii="Arial" w:hAnsi="Arial" w:eastAsia="Arial" w:cs="Arial"/>
          <w:color w:val="32373F"/>
          <w:spacing w:val="2"/>
        </w:rPr>
        <w:t xml:space="preserve"> </w:t>
      </w:r>
      <w:r>
        <w:rPr>
          <w:color w:val="32373F"/>
          <w:spacing w:val="12"/>
        </w:rPr>
        <w:t>℃。</w:t>
      </w:r>
      <w:r>
        <w:rPr>
          <w:color w:val="32373F"/>
          <w:spacing w:val="-39"/>
        </w:rPr>
        <w:t xml:space="preserve"> </w:t>
      </w:r>
      <w:r>
        <w:rPr>
          <w:rFonts w:ascii="Arial" w:hAnsi="Arial" w:eastAsia="Arial" w:cs="Arial"/>
          <w:color w:val="32373F"/>
        </w:rPr>
        <w:t>FEE</w:t>
      </w:r>
      <w:r>
        <w:rPr>
          <w:rFonts w:ascii="Arial" w:hAnsi="Arial" w:eastAsia="Arial" w:cs="Arial"/>
          <w:color w:val="32373F"/>
          <w:spacing w:val="12"/>
        </w:rPr>
        <w:t xml:space="preserve">5 </w:t>
      </w:r>
      <w:r>
        <w:rPr>
          <w:color w:val="32373F"/>
          <w:spacing w:val="12"/>
        </w:rPr>
        <w:t xml:space="preserve">的 </w:t>
      </w:r>
      <w:r>
        <w:rPr>
          <w:rFonts w:ascii="Arial" w:hAnsi="Arial" w:eastAsia="Arial" w:cs="Arial"/>
          <w:color w:val="32373F"/>
          <w:spacing w:val="12"/>
        </w:rPr>
        <w:t xml:space="preserve">T1 </w:t>
      </w:r>
      <w:r>
        <w:rPr>
          <w:color w:val="32373F"/>
          <w:spacing w:val="12"/>
        </w:rPr>
        <w:t xml:space="preserve">起始温度（约 </w:t>
      </w:r>
      <w:r>
        <w:rPr>
          <w:rFonts w:ascii="Arial" w:hAnsi="Arial" w:eastAsia="Arial" w:cs="Arial"/>
          <w:color w:val="32373F"/>
          <w:spacing w:val="12"/>
        </w:rPr>
        <w:t xml:space="preserve">32 </w:t>
      </w:r>
      <w:r>
        <w:rPr>
          <w:color w:val="32373F"/>
          <w:spacing w:val="12"/>
        </w:rPr>
        <w:t xml:space="preserve">℃)高于 </w:t>
      </w:r>
      <w:r>
        <w:rPr>
          <w:rFonts w:ascii="Arial" w:hAnsi="Arial" w:eastAsia="Arial" w:cs="Arial"/>
          <w:color w:val="32373F"/>
        </w:rPr>
        <w:t>FEE</w:t>
      </w:r>
      <w:r>
        <w:rPr>
          <w:rFonts w:ascii="Arial" w:hAnsi="Arial" w:eastAsia="Arial" w:cs="Arial"/>
          <w:color w:val="32373F"/>
          <w:spacing w:val="12"/>
        </w:rPr>
        <w:t xml:space="preserve">6 </w:t>
      </w:r>
      <w:r>
        <w:rPr>
          <w:color w:val="32373F"/>
          <w:spacing w:val="12"/>
        </w:rPr>
        <w:t xml:space="preserve">和 </w:t>
      </w:r>
      <w:r>
        <w:rPr>
          <w:rFonts w:ascii="Arial" w:hAnsi="Arial" w:eastAsia="Arial" w:cs="Arial"/>
          <w:color w:val="32373F"/>
        </w:rPr>
        <w:t>FEE</w:t>
      </w:r>
      <w:r>
        <w:rPr>
          <w:rFonts w:ascii="Arial" w:hAnsi="Arial" w:eastAsia="Arial" w:cs="Arial"/>
          <w:color w:val="32373F"/>
          <w:spacing w:val="12"/>
        </w:rPr>
        <w:t xml:space="preserve">8 </w:t>
      </w:r>
      <w:r>
        <w:rPr>
          <w:color w:val="32373F"/>
          <w:spacing w:val="12"/>
        </w:rPr>
        <w:t xml:space="preserve">的 </w:t>
      </w:r>
      <w:r>
        <w:rPr>
          <w:rFonts w:ascii="Arial" w:hAnsi="Arial" w:eastAsia="Arial" w:cs="Arial"/>
          <w:color w:val="32373F"/>
          <w:spacing w:val="12"/>
        </w:rPr>
        <w:t>T1</w:t>
      </w:r>
      <w:r>
        <w:rPr>
          <w:color w:val="32373F"/>
          <w:spacing w:val="12"/>
        </w:rPr>
        <w:t xml:space="preserve">（约 </w:t>
      </w:r>
      <w:r>
        <w:rPr>
          <w:rFonts w:ascii="Arial" w:hAnsi="Arial" w:eastAsia="Arial" w:cs="Arial"/>
          <w:color w:val="32373F"/>
          <w:spacing w:val="12"/>
        </w:rPr>
        <w:t>20</w:t>
      </w:r>
      <w:r>
        <w:rPr>
          <w:rFonts w:ascii="Arial" w:hAnsi="Arial" w:eastAsia="Arial" w:cs="Arial"/>
          <w:color w:val="32373F"/>
          <w:spacing w:val="9"/>
        </w:rPr>
        <w:t xml:space="preserve"> </w:t>
      </w:r>
      <w:r>
        <w:rPr>
          <w:color w:val="32373F"/>
          <w:spacing w:val="12"/>
        </w:rPr>
        <w:t>℃),反映各板卡安装位置的</w:t>
      </w:r>
      <w:r>
        <w:rPr>
          <w:color w:val="32373F"/>
        </w:rPr>
        <w:t>初始热状态存在差异。</w:t>
      </w:r>
    </w:p>
    <w:p w14:paraId="4DE6B14F">
      <w:pPr>
        <w:pStyle w:val="2"/>
        <w:spacing w:before="306" w:line="231" w:lineRule="auto"/>
        <w:ind w:left="3" w:right="64" w:firstLine="1"/>
        <w:jc w:val="both"/>
      </w:pPr>
      <w:r>
        <w:rPr>
          <w:rFonts w:ascii="Arial" w:hAnsi="Arial" w:eastAsia="Arial" w:cs="Arial"/>
          <w:b/>
          <w:bCs/>
          <w:color w:val="32373F"/>
          <w:spacing w:val="7"/>
        </w:rPr>
        <w:t xml:space="preserve">T2 </w:t>
      </w:r>
      <w:r>
        <w:rPr>
          <w:b/>
          <w:bCs/>
          <w:color w:val="32373F"/>
          <w:spacing w:val="7"/>
        </w:rPr>
        <w:t xml:space="preserve">与 </w:t>
      </w:r>
      <w:r>
        <w:rPr>
          <w:rFonts w:ascii="Arial" w:hAnsi="Arial" w:eastAsia="Arial" w:cs="Arial"/>
          <w:b/>
          <w:bCs/>
          <w:color w:val="32373F"/>
          <w:spacing w:val="7"/>
        </w:rPr>
        <w:t xml:space="preserve">T3 </w:t>
      </w:r>
      <w:r>
        <w:rPr>
          <w:b/>
          <w:bCs/>
          <w:color w:val="32373F"/>
          <w:spacing w:val="7"/>
        </w:rPr>
        <w:t>测点</w:t>
      </w:r>
      <w:r>
        <w:rPr>
          <w:color w:val="32373F"/>
          <w:spacing w:val="7"/>
        </w:rPr>
        <w:t xml:space="preserve">在四块板卡中均在数据记录起始时已接近热平衡，初始温度约为 </w:t>
      </w:r>
      <w:r>
        <w:rPr>
          <w:rFonts w:ascii="Arial" w:hAnsi="Arial" w:eastAsia="Arial" w:cs="Arial"/>
          <w:color w:val="32373F"/>
          <w:spacing w:val="7"/>
        </w:rPr>
        <w:t xml:space="preserve">38–42 </w:t>
      </w:r>
      <w:r>
        <w:rPr>
          <w:color w:val="32373F"/>
          <w:spacing w:val="7"/>
        </w:rPr>
        <w:t>℃,整段曲线趋于</w:t>
      </w:r>
      <w:r>
        <w:rPr>
          <w:color w:val="32373F"/>
          <w:spacing w:val="8"/>
        </w:rPr>
        <w:t xml:space="preserve">平坦，末段稳定在约 </w:t>
      </w:r>
      <w:r>
        <w:rPr>
          <w:rFonts w:ascii="Arial" w:hAnsi="Arial" w:eastAsia="Arial" w:cs="Arial"/>
          <w:color w:val="32373F"/>
          <w:spacing w:val="8"/>
        </w:rPr>
        <w:t xml:space="preserve">40–42 </w:t>
      </w:r>
      <w:r>
        <w:rPr>
          <w:color w:val="32373F"/>
          <w:spacing w:val="8"/>
        </w:rPr>
        <w:t>℃,说明这两个测点所在位置的热容较大或与热源更为接近</w:t>
      </w:r>
      <w:r>
        <w:rPr>
          <w:color w:val="32373F"/>
          <w:spacing w:val="7"/>
        </w:rPr>
        <w:t>，升温过程在记</w:t>
      </w:r>
      <w:r>
        <w:rPr>
          <w:color w:val="32373F"/>
        </w:rPr>
        <w:t>录开始前已基本完成。</w:t>
      </w:r>
    </w:p>
    <w:p w14:paraId="342B2291">
      <w:pPr>
        <w:spacing w:line="231" w:lineRule="auto"/>
        <w:sectPr>
          <w:pgSz w:w="11919" w:h="16858"/>
          <w:pgMar w:top="578" w:right="830" w:bottom="0" w:left="785" w:header="0" w:footer="0" w:gutter="0"/>
          <w:cols w:space="720" w:num="1"/>
        </w:sectPr>
      </w:pPr>
    </w:p>
    <w:p w14:paraId="41DAE57C">
      <w:pPr>
        <w:spacing w:line="8925" w:lineRule="exact"/>
      </w:pPr>
      <w:r>
        <w:rPr>
          <w:position w:val="-178"/>
        </w:rPr>
        <w:drawing>
          <wp:inline distT="0" distB="0" distL="0" distR="0">
            <wp:extent cx="6572250" cy="566737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2"/>
                    <a:stretch>
                      <a:fillRect/>
                    </a:stretch>
                  </pic:blipFill>
                  <pic:spPr>
                    <a:xfrm>
                      <a:off x="0" y="0"/>
                      <a:ext cx="6572250" cy="5667375"/>
                    </a:xfrm>
                    <a:prstGeom prst="rect">
                      <a:avLst/>
                    </a:prstGeom>
                  </pic:spPr>
                </pic:pic>
              </a:graphicData>
            </a:graphic>
          </wp:inline>
        </w:drawing>
      </w:r>
    </w:p>
    <w:p w14:paraId="0DADF134">
      <w:pPr>
        <w:spacing w:line="8925" w:lineRule="exact"/>
        <w:sectPr>
          <w:pgSz w:w="11919" w:h="16858"/>
          <w:pgMar w:top="560" w:right="783" w:bottom="0" w:left="785" w:header="0" w:footer="0" w:gutter="0"/>
          <w:cols w:space="720" w:num="1"/>
        </w:sectPr>
      </w:pPr>
    </w:p>
    <w:p w14:paraId="73463296">
      <w:pPr>
        <w:spacing w:line="8925" w:lineRule="exact"/>
      </w:pPr>
      <w:r>
        <w:rPr>
          <w:position w:val="-178"/>
        </w:rPr>
        <w:drawing>
          <wp:inline distT="0" distB="0" distL="0" distR="0">
            <wp:extent cx="6572250" cy="566737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3"/>
                    <a:stretch>
                      <a:fillRect/>
                    </a:stretch>
                  </pic:blipFill>
                  <pic:spPr>
                    <a:xfrm>
                      <a:off x="0" y="0"/>
                      <a:ext cx="6572250" cy="5667375"/>
                    </a:xfrm>
                    <a:prstGeom prst="rect">
                      <a:avLst/>
                    </a:prstGeom>
                  </pic:spPr>
                </pic:pic>
              </a:graphicData>
            </a:graphic>
          </wp:inline>
        </w:drawing>
      </w:r>
    </w:p>
    <w:p w14:paraId="100FE84C">
      <w:pPr>
        <w:spacing w:line="8925" w:lineRule="exact"/>
        <w:sectPr>
          <w:pgSz w:w="11919" w:h="16858"/>
          <w:pgMar w:top="560" w:right="783" w:bottom="0" w:left="785" w:header="0" w:footer="0" w:gutter="0"/>
          <w:cols w:space="720" w:num="1"/>
        </w:sectPr>
      </w:pPr>
    </w:p>
    <w:p w14:paraId="5823DD9E">
      <w:pPr>
        <w:spacing w:line="8925" w:lineRule="exact"/>
      </w:pPr>
      <w:r>
        <w:rPr>
          <w:position w:val="-178"/>
        </w:rPr>
        <w:drawing>
          <wp:inline distT="0" distB="0" distL="0" distR="0">
            <wp:extent cx="6572250" cy="566737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4"/>
                    <a:stretch>
                      <a:fillRect/>
                    </a:stretch>
                  </pic:blipFill>
                  <pic:spPr>
                    <a:xfrm>
                      <a:off x="0" y="0"/>
                      <a:ext cx="6572250" cy="5667375"/>
                    </a:xfrm>
                    <a:prstGeom prst="rect">
                      <a:avLst/>
                    </a:prstGeom>
                  </pic:spPr>
                </pic:pic>
              </a:graphicData>
            </a:graphic>
          </wp:inline>
        </w:drawing>
      </w:r>
    </w:p>
    <w:p w14:paraId="098D3743">
      <w:pPr>
        <w:spacing w:line="8925" w:lineRule="exact"/>
        <w:sectPr>
          <w:pgSz w:w="11919" w:h="16858"/>
          <w:pgMar w:top="560" w:right="783" w:bottom="0" w:left="785" w:header="0" w:footer="0" w:gutter="0"/>
          <w:cols w:space="720" w:num="1"/>
        </w:sectPr>
      </w:pPr>
    </w:p>
    <w:p w14:paraId="22D54D5A">
      <w:pPr>
        <w:spacing w:before="160" w:line="8924" w:lineRule="exact"/>
      </w:pPr>
      <w:r>
        <w:rPr>
          <w:position w:val="-178"/>
        </w:rPr>
        <w:drawing>
          <wp:inline distT="0" distB="0" distL="0" distR="0">
            <wp:extent cx="6572250" cy="566674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5"/>
                    <a:stretch>
                      <a:fillRect/>
                    </a:stretch>
                  </pic:blipFill>
                  <pic:spPr>
                    <a:xfrm>
                      <a:off x="0" y="0"/>
                      <a:ext cx="6572250" cy="5667373"/>
                    </a:xfrm>
                    <a:prstGeom prst="rect">
                      <a:avLst/>
                    </a:prstGeom>
                  </pic:spPr>
                </pic:pic>
              </a:graphicData>
            </a:graphic>
          </wp:inline>
        </w:drawing>
      </w:r>
    </w:p>
    <w:p w14:paraId="43109678">
      <w:pPr>
        <w:pStyle w:val="2"/>
        <w:spacing w:before="322" w:line="231" w:lineRule="auto"/>
        <w:ind w:left="3" w:right="99"/>
        <w:jc w:val="both"/>
      </w:pPr>
      <w:r>
        <w:rPr>
          <w:color w:val="32373F"/>
          <w:spacing w:val="4"/>
        </w:rPr>
        <w:t>综合来看，</w:t>
      </w:r>
      <w:r>
        <w:rPr>
          <w:color w:val="32373F"/>
          <w:spacing w:val="-26"/>
        </w:rPr>
        <w:t xml:space="preserve"> </w:t>
      </w:r>
      <w:r>
        <w:rPr>
          <w:color w:val="32373F"/>
        </w:rPr>
        <w:t>FEE</w:t>
      </w:r>
      <w:r>
        <w:rPr>
          <w:color w:val="32373F"/>
          <w:spacing w:val="4"/>
        </w:rPr>
        <w:t>5–8</w:t>
      </w:r>
      <w:r>
        <w:rPr>
          <w:color w:val="32373F"/>
          <w:spacing w:val="18"/>
          <w:w w:val="101"/>
        </w:rPr>
        <w:t xml:space="preserve"> </w:t>
      </w:r>
      <w:r>
        <w:rPr>
          <w:color w:val="32373F"/>
          <w:spacing w:val="4"/>
        </w:rPr>
        <w:t>四块板卡的</w:t>
      </w:r>
      <w:r>
        <w:rPr>
          <w:color w:val="32373F"/>
          <w:spacing w:val="22"/>
        </w:rPr>
        <w:t xml:space="preserve"> </w:t>
      </w:r>
      <w:r>
        <w:rPr>
          <w:color w:val="32373F"/>
          <w:spacing w:val="4"/>
        </w:rPr>
        <w:t>16 个温度测点在整个监测区间内均未出现突变、跳变或</w:t>
      </w:r>
      <w:r>
        <w:rPr>
          <w:color w:val="32373F"/>
          <w:spacing w:val="3"/>
        </w:rPr>
        <w:t>异常离散，曲线</w:t>
      </w:r>
      <w:r>
        <w:rPr>
          <w:color w:val="32373F"/>
          <w:spacing w:val="7"/>
        </w:rPr>
        <w:t xml:space="preserve">连续平滑，各测点最终温度均收敛至 37–42℃ </w:t>
      </w:r>
      <w:r>
        <w:rPr>
          <w:color w:val="32373F"/>
          <w:spacing w:val="6"/>
        </w:rPr>
        <w:t xml:space="preserve">左右，差异在合理范围内。该阶段各 </w:t>
      </w:r>
      <w:r>
        <w:rPr>
          <w:color w:val="32373F"/>
        </w:rPr>
        <w:t>FEE</w:t>
      </w:r>
      <w:r>
        <w:rPr>
          <w:color w:val="32373F"/>
          <w:spacing w:val="6"/>
        </w:rPr>
        <w:t xml:space="preserve"> 温度遥测工作</w:t>
      </w:r>
      <w:r>
        <w:rPr>
          <w:color w:val="32373F"/>
          <w:spacing w:val="1"/>
        </w:rPr>
        <w:t>正常，热响应行为符合预期。</w:t>
      </w:r>
    </w:p>
    <w:p w14:paraId="7605157B">
      <w:pPr>
        <w:pStyle w:val="2"/>
        <w:spacing w:before="316" w:line="186" w:lineRule="auto"/>
        <w:ind w:left="13"/>
      </w:pPr>
      <w:r>
        <w:rPr>
          <w:b/>
          <w:bCs/>
          <w:color w:val="32373F"/>
          <w:spacing w:val="-1"/>
        </w:rPr>
        <w:t>电流</w:t>
      </w:r>
    </w:p>
    <w:p w14:paraId="584C950F">
      <w:pPr>
        <w:pStyle w:val="2"/>
        <w:spacing w:before="159" w:line="239" w:lineRule="auto"/>
        <w:ind w:left="3"/>
      </w:pPr>
      <w:r>
        <w:rPr>
          <w:color w:val="32373F"/>
          <w:spacing w:val="4"/>
        </w:rPr>
        <w:t xml:space="preserve">根据数据协议，量能器 </w:t>
      </w:r>
      <w:r>
        <w:rPr>
          <w:color w:val="32373F"/>
        </w:rPr>
        <w:t>FEE</w:t>
      </w:r>
      <w:r>
        <w:rPr>
          <w:color w:val="32373F"/>
          <w:spacing w:val="4"/>
        </w:rPr>
        <w:t xml:space="preserve"> 遥测数据包中</w:t>
      </w:r>
      <w:r>
        <w:rPr>
          <w:b/>
          <w:bCs/>
          <w:color w:val="32373F"/>
          <w:spacing w:val="4"/>
        </w:rPr>
        <w:t xml:space="preserve">字节 </w:t>
      </w:r>
      <w:r>
        <w:rPr>
          <w:rFonts w:ascii="Arial" w:hAnsi="Arial" w:eastAsia="Arial" w:cs="Arial"/>
          <w:b/>
          <w:bCs/>
          <w:color w:val="32373F"/>
          <w:spacing w:val="4"/>
        </w:rPr>
        <w:t xml:space="preserve">2–7 </w:t>
      </w:r>
      <w:r>
        <w:rPr>
          <w:color w:val="32373F"/>
          <w:spacing w:val="4"/>
        </w:rPr>
        <w:t>共包含 3 个电源电流监测点。</w:t>
      </w:r>
    </w:p>
    <w:p w14:paraId="778921AF">
      <w:pPr>
        <w:spacing w:line="244" w:lineRule="auto"/>
        <w:rPr>
          <w:rFonts w:ascii="Arial"/>
          <w:sz w:val="21"/>
        </w:rPr>
      </w:pPr>
    </w:p>
    <w:p w14:paraId="6BEEA0F8">
      <w:pPr>
        <w:pStyle w:val="2"/>
        <w:spacing w:before="95" w:line="187" w:lineRule="auto"/>
        <w:ind w:left="3"/>
      </w:pPr>
      <w:r>
        <w:rPr>
          <w:color w:val="32373F"/>
          <w:spacing w:val="-1"/>
        </w:rPr>
        <w:t>具体对应关系如下：</w:t>
      </w:r>
    </w:p>
    <w:p w14:paraId="76DA2215">
      <w:pPr>
        <w:spacing w:before="197"/>
      </w:pPr>
    </w:p>
    <w:tbl>
      <w:tblPr>
        <w:tblStyle w:val="8"/>
        <w:tblW w:w="10335" w:type="dxa"/>
        <w:tblInd w:w="7" w:type="dxa"/>
        <w:tblBorders>
          <w:top w:val="single" w:color="DCDCDC" w:sz="6" w:space="0"/>
          <w:left w:val="single" w:color="DCDCDC" w:sz="6" w:space="0"/>
          <w:bottom w:val="single" w:color="DCDCDC" w:sz="6" w:space="0"/>
          <w:right w:val="single" w:color="DCDCDC" w:sz="6" w:space="0"/>
          <w:insideH w:val="single" w:color="DCDCDC" w:sz="6" w:space="0"/>
          <w:insideV w:val="single" w:color="DCDCDC" w:sz="6" w:space="0"/>
        </w:tblBorders>
        <w:tblLayout w:type="fixed"/>
        <w:tblCellMar>
          <w:top w:w="0" w:type="dxa"/>
          <w:left w:w="0" w:type="dxa"/>
          <w:bottom w:w="0" w:type="dxa"/>
          <w:right w:w="0" w:type="dxa"/>
        </w:tblCellMar>
      </w:tblPr>
      <w:tblGrid>
        <w:gridCol w:w="1476"/>
        <w:gridCol w:w="4044"/>
        <w:gridCol w:w="3969"/>
        <w:gridCol w:w="846"/>
      </w:tblGrid>
      <w:tr w14:paraId="1A1F82B6">
        <w:tblPrEx>
          <w:tblBorders>
            <w:top w:val="single" w:color="DCDCDC" w:sz="6" w:space="0"/>
            <w:left w:val="single" w:color="DCDCDC" w:sz="6" w:space="0"/>
            <w:bottom w:val="single" w:color="DCDCDC" w:sz="6" w:space="0"/>
            <w:right w:val="single" w:color="DCDCDC" w:sz="6" w:space="0"/>
            <w:insideH w:val="single" w:color="DCDCDC" w:sz="6" w:space="0"/>
            <w:insideV w:val="single" w:color="DCDCDC" w:sz="6" w:space="0"/>
          </w:tblBorders>
          <w:tblCellMar>
            <w:top w:w="0" w:type="dxa"/>
            <w:left w:w="0" w:type="dxa"/>
            <w:bottom w:w="0" w:type="dxa"/>
            <w:right w:w="0" w:type="dxa"/>
          </w:tblCellMar>
        </w:tblPrEx>
        <w:trPr>
          <w:trHeight w:val="836" w:hRule="atLeast"/>
        </w:trPr>
        <w:tc>
          <w:tcPr>
            <w:tcW w:w="1476" w:type="dxa"/>
            <w:tcBorders>
              <w:bottom w:val="single" w:color="DCDCDC" w:sz="12" w:space="0"/>
            </w:tcBorders>
            <w:shd w:val="clear" w:color="auto" w:fill="F7F7F7"/>
            <w:vAlign w:val="top"/>
          </w:tcPr>
          <w:p w14:paraId="3DAA6AF2">
            <w:pPr>
              <w:pStyle w:val="9"/>
              <w:spacing w:before="318" w:line="186" w:lineRule="auto"/>
              <w:ind w:left="286"/>
            </w:pPr>
            <w:r>
              <w:rPr>
                <w:b/>
                <w:bCs/>
                <w:color w:val="32373F"/>
                <w:spacing w:val="3"/>
              </w:rPr>
              <w:t>字节地址</w:t>
            </w:r>
          </w:p>
        </w:tc>
        <w:tc>
          <w:tcPr>
            <w:tcW w:w="4044" w:type="dxa"/>
            <w:tcBorders>
              <w:bottom w:val="single" w:color="DCDCDC" w:sz="12" w:space="0"/>
            </w:tcBorders>
            <w:shd w:val="clear" w:color="auto" w:fill="F7F7F7"/>
            <w:vAlign w:val="top"/>
          </w:tcPr>
          <w:p w14:paraId="27954A2F">
            <w:pPr>
              <w:pStyle w:val="9"/>
              <w:spacing w:before="319" w:line="186" w:lineRule="auto"/>
              <w:ind w:left="1566"/>
            </w:pPr>
            <w:r>
              <w:rPr>
                <w:b/>
                <w:bCs/>
                <w:color w:val="32373F"/>
                <w:spacing w:val="4"/>
              </w:rPr>
              <w:t>对应参数</w:t>
            </w:r>
          </w:p>
        </w:tc>
        <w:tc>
          <w:tcPr>
            <w:tcW w:w="3969" w:type="dxa"/>
            <w:tcBorders>
              <w:bottom w:val="single" w:color="DCDCDC" w:sz="12" w:space="0"/>
            </w:tcBorders>
            <w:shd w:val="clear" w:color="auto" w:fill="F7F7F7"/>
            <w:vAlign w:val="top"/>
          </w:tcPr>
          <w:p w14:paraId="65D43485">
            <w:pPr>
              <w:pStyle w:val="9"/>
              <w:spacing w:before="319" w:line="186" w:lineRule="auto"/>
              <w:ind w:left="1532"/>
            </w:pPr>
            <w:r>
              <w:rPr>
                <w:b/>
                <w:bCs/>
                <w:color w:val="32373F"/>
                <w:spacing w:val="4"/>
              </w:rPr>
              <w:t>转换公式</w:t>
            </w:r>
          </w:p>
        </w:tc>
        <w:tc>
          <w:tcPr>
            <w:tcW w:w="846" w:type="dxa"/>
            <w:tcBorders>
              <w:bottom w:val="single" w:color="DCDCDC" w:sz="12" w:space="0"/>
            </w:tcBorders>
            <w:shd w:val="clear" w:color="auto" w:fill="F7F7F7"/>
            <w:textDirection w:val="tbRlV"/>
            <w:vAlign w:val="top"/>
          </w:tcPr>
          <w:p w14:paraId="1F63B0AF">
            <w:pPr>
              <w:pStyle w:val="9"/>
              <w:spacing w:before="299" w:line="183" w:lineRule="auto"/>
              <w:ind w:left="168"/>
            </w:pPr>
            <w:r>
              <w:rPr>
                <w:b/>
                <w:bCs/>
                <w:color w:val="32373F"/>
              </w:rPr>
              <w:t>单</w:t>
            </w:r>
            <w:r>
              <w:rPr>
                <w:b/>
                <w:bCs/>
                <w:color w:val="32373F"/>
                <w:spacing w:val="14"/>
              </w:rPr>
              <w:t xml:space="preserve"> </w:t>
            </w:r>
            <w:r>
              <w:rPr>
                <w:b/>
                <w:bCs/>
                <w:color w:val="32373F"/>
              </w:rPr>
              <w:t>位</w:t>
            </w:r>
          </w:p>
        </w:tc>
      </w:tr>
      <w:tr w14:paraId="2C7C0FC4">
        <w:tblPrEx>
          <w:tblBorders>
            <w:top w:val="single" w:color="DCDCDC" w:sz="6" w:space="0"/>
            <w:left w:val="single" w:color="DCDCDC" w:sz="6" w:space="0"/>
            <w:bottom w:val="single" w:color="DCDCDC" w:sz="6" w:space="0"/>
            <w:right w:val="single" w:color="DCDCDC" w:sz="6" w:space="0"/>
            <w:insideH w:val="single" w:color="DCDCDC" w:sz="6" w:space="0"/>
            <w:insideV w:val="single" w:color="DCDCDC" w:sz="6" w:space="0"/>
          </w:tblBorders>
          <w:tblCellMar>
            <w:top w:w="0" w:type="dxa"/>
            <w:left w:w="0" w:type="dxa"/>
            <w:bottom w:w="0" w:type="dxa"/>
            <w:right w:w="0" w:type="dxa"/>
          </w:tblCellMar>
        </w:tblPrEx>
        <w:trPr>
          <w:trHeight w:val="410" w:hRule="atLeast"/>
        </w:trPr>
        <w:tc>
          <w:tcPr>
            <w:tcW w:w="1476" w:type="dxa"/>
            <w:vMerge w:val="restart"/>
            <w:tcBorders>
              <w:top w:val="single" w:color="DCDCDC" w:sz="12" w:space="0"/>
              <w:bottom w:val="nil"/>
            </w:tcBorders>
            <w:vAlign w:val="top"/>
          </w:tcPr>
          <w:p w14:paraId="5661941F">
            <w:pPr>
              <w:pStyle w:val="9"/>
              <w:spacing w:before="115" w:line="193" w:lineRule="auto"/>
              <w:ind w:left="291"/>
            </w:pPr>
            <w:r>
              <w:rPr>
                <w:color w:val="32373F"/>
              </w:rPr>
              <w:t>字节 2–3</w:t>
            </w:r>
          </w:p>
          <w:p w14:paraId="20DA76E9">
            <w:pPr>
              <w:pStyle w:val="9"/>
              <w:spacing w:line="223" w:lineRule="auto"/>
              <w:ind w:left="398"/>
            </w:pPr>
            <w:r>
              <w:rPr>
                <w:color w:val="32373F"/>
                <w:spacing w:val="-6"/>
              </w:rPr>
              <w:t>（C0）</w:t>
            </w:r>
          </w:p>
        </w:tc>
        <w:tc>
          <w:tcPr>
            <w:tcW w:w="4044" w:type="dxa"/>
            <w:vMerge w:val="restart"/>
            <w:tcBorders>
              <w:top w:val="single" w:color="DCDCDC" w:sz="12" w:space="0"/>
              <w:bottom w:val="nil"/>
            </w:tcBorders>
            <w:vAlign w:val="top"/>
          </w:tcPr>
          <w:p w14:paraId="0D3DFC71">
            <w:pPr>
              <w:pStyle w:val="9"/>
              <w:spacing w:before="265"/>
              <w:ind w:left="1518"/>
            </w:pPr>
            <w:r>
              <w:rPr>
                <w:color w:val="32373F"/>
                <w:spacing w:val="-4"/>
              </w:rPr>
              <w:t>1.8 V</w:t>
            </w:r>
            <w:r>
              <w:rPr>
                <w:color w:val="32373F"/>
                <w:spacing w:val="12"/>
              </w:rPr>
              <w:t xml:space="preserve"> </w:t>
            </w:r>
            <w:r>
              <w:rPr>
                <w:color w:val="32373F"/>
                <w:spacing w:val="-4"/>
              </w:rPr>
              <w:t>电流</w:t>
            </w:r>
          </w:p>
        </w:tc>
        <w:tc>
          <w:tcPr>
            <w:tcW w:w="3969" w:type="dxa"/>
            <w:tcBorders>
              <w:top w:val="single" w:color="DCDCDC" w:sz="12" w:space="0"/>
              <w:bottom w:val="nil"/>
            </w:tcBorders>
            <w:vAlign w:val="top"/>
          </w:tcPr>
          <w:p w14:paraId="7CEF1AC2">
            <w:pPr>
              <w:pStyle w:val="9"/>
              <w:spacing w:before="190" w:line="210" w:lineRule="exact"/>
              <w:ind w:left="1030"/>
              <w:rPr>
                <w:sz w:val="20"/>
                <w:szCs w:val="20"/>
              </w:rPr>
            </w:pPr>
            <w:r>
              <w:rPr>
                <w:rFonts w:ascii="新宋体" w:hAnsi="新宋体" w:eastAsia="新宋体" w:cs="新宋体"/>
                <w:spacing w:val="2"/>
                <w:position w:val="-1"/>
                <w:sz w:val="20"/>
                <w:szCs w:val="20"/>
                <w:shd w:val="clear" w:fill="F3F3F3"/>
              </w:rPr>
              <w:t>((</w:t>
            </w:r>
            <w:r>
              <w:rPr>
                <w:rFonts w:ascii="新宋体" w:hAnsi="新宋体" w:eastAsia="新宋体" w:cs="新宋体"/>
                <w:position w:val="-1"/>
                <w:sz w:val="20"/>
                <w:szCs w:val="20"/>
                <w:shd w:val="clear" w:fill="F3F3F3"/>
              </w:rPr>
              <w:t>cur</w:t>
            </w:r>
            <w:r>
              <w:rPr>
                <w:rFonts w:ascii="新宋体" w:hAnsi="新宋体" w:eastAsia="新宋体" w:cs="新宋体"/>
                <w:spacing w:val="2"/>
                <w:position w:val="-1"/>
                <w:sz w:val="20"/>
                <w:szCs w:val="20"/>
                <w:shd w:val="clear" w:fill="F3F3F3"/>
              </w:rPr>
              <w:t>0×2500/4096</w:t>
            </w:r>
            <w:r>
              <w:rPr>
                <w:rFonts w:ascii="新宋体" w:hAnsi="新宋体" w:eastAsia="新宋体" w:cs="新宋体"/>
                <w:spacing w:val="42"/>
                <w:position w:val="-1"/>
                <w:sz w:val="20"/>
                <w:szCs w:val="20"/>
                <w:shd w:val="clear" w:fill="F3F3F3"/>
              </w:rPr>
              <w:t xml:space="preserve"> </w:t>
            </w:r>
            <w:r>
              <w:rPr>
                <w:spacing w:val="2"/>
                <w:position w:val="-1"/>
                <w:sz w:val="20"/>
                <w:szCs w:val="20"/>
                <w:shd w:val="clear" w:fill="F3F3F3"/>
              </w:rPr>
              <w:t>−</w:t>
            </w:r>
          </w:p>
        </w:tc>
        <w:tc>
          <w:tcPr>
            <w:tcW w:w="846" w:type="dxa"/>
            <w:vMerge w:val="restart"/>
            <w:tcBorders>
              <w:top w:val="single" w:color="DCDCDC" w:sz="12" w:space="0"/>
              <w:bottom w:val="nil"/>
            </w:tcBorders>
            <w:vAlign w:val="top"/>
          </w:tcPr>
          <w:p w14:paraId="06324B91">
            <w:pPr>
              <w:pStyle w:val="9"/>
              <w:spacing w:before="320" w:line="168" w:lineRule="auto"/>
              <w:ind w:left="265"/>
            </w:pPr>
            <w:r>
              <w:rPr>
                <w:color w:val="32373F"/>
                <w:spacing w:val="-11"/>
              </w:rPr>
              <w:t>mA</w:t>
            </w:r>
          </w:p>
        </w:tc>
      </w:tr>
      <w:tr w14:paraId="6B566084">
        <w:tblPrEx>
          <w:tblBorders>
            <w:top w:val="single" w:color="DCDCDC" w:sz="6" w:space="0"/>
            <w:left w:val="single" w:color="DCDCDC" w:sz="6" w:space="0"/>
            <w:bottom w:val="single" w:color="DCDCDC" w:sz="6" w:space="0"/>
            <w:right w:val="single" w:color="DCDCDC" w:sz="6" w:space="0"/>
            <w:insideH w:val="single" w:color="DCDCDC" w:sz="6" w:space="0"/>
            <w:insideV w:val="single" w:color="DCDCDC" w:sz="6" w:space="0"/>
          </w:tblBorders>
          <w:tblCellMar>
            <w:top w:w="0" w:type="dxa"/>
            <w:left w:w="0" w:type="dxa"/>
            <w:bottom w:w="0" w:type="dxa"/>
            <w:right w:w="0" w:type="dxa"/>
          </w:tblCellMar>
        </w:tblPrEx>
        <w:trPr>
          <w:trHeight w:val="403" w:hRule="atLeast"/>
        </w:trPr>
        <w:tc>
          <w:tcPr>
            <w:tcW w:w="1476" w:type="dxa"/>
            <w:vMerge w:val="continue"/>
            <w:tcBorders>
              <w:top w:val="nil"/>
            </w:tcBorders>
            <w:vAlign w:val="top"/>
          </w:tcPr>
          <w:p w14:paraId="37ECB762">
            <w:pPr>
              <w:rPr>
                <w:rFonts w:ascii="Arial"/>
                <w:sz w:val="21"/>
              </w:rPr>
            </w:pPr>
          </w:p>
        </w:tc>
        <w:tc>
          <w:tcPr>
            <w:tcW w:w="4044" w:type="dxa"/>
            <w:vMerge w:val="continue"/>
            <w:tcBorders>
              <w:top w:val="nil"/>
            </w:tcBorders>
            <w:vAlign w:val="top"/>
          </w:tcPr>
          <w:p w14:paraId="3267B078">
            <w:pPr>
              <w:rPr>
                <w:rFonts w:ascii="Arial"/>
                <w:sz w:val="21"/>
              </w:rPr>
            </w:pPr>
          </w:p>
        </w:tc>
        <w:tc>
          <w:tcPr>
            <w:tcW w:w="3969" w:type="dxa"/>
            <w:tcBorders>
              <w:top w:val="nil"/>
            </w:tcBorders>
            <w:vAlign w:val="top"/>
          </w:tcPr>
          <w:p w14:paraId="5AB39415">
            <w:pPr>
              <w:spacing w:before="14" w:line="238" w:lineRule="auto"/>
              <w:ind w:left="1174"/>
              <w:rPr>
                <w:sz w:val="20"/>
                <w:szCs w:val="20"/>
              </w:rPr>
            </w:pPr>
            <w:r>
              <w:drawing>
                <wp:anchor distT="0" distB="0" distL="0" distR="0" simplePos="0" relativeHeight="251659264" behindDoc="1" locked="0" layoutInCell="1" allowOverlap="1">
                  <wp:simplePos x="0" y="0"/>
                  <wp:positionH relativeFrom="column">
                    <wp:posOffset>742950</wp:posOffset>
                  </wp:positionH>
                  <wp:positionV relativeFrom="paragraph">
                    <wp:posOffset>8890</wp:posOffset>
                  </wp:positionV>
                  <wp:extent cx="1028700" cy="20955"/>
                  <wp:effectExtent l="0" t="0" r="0" b="0"/>
                  <wp:wrapNone/>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6"/>
                          <a:stretch>
                            <a:fillRect/>
                          </a:stretch>
                        </pic:blipFill>
                        <pic:spPr>
                          <a:xfrm>
                            <a:off x="0" y="0"/>
                            <a:ext cx="1028699" cy="20832"/>
                          </a:xfrm>
                          <a:prstGeom prst="rect">
                            <a:avLst/>
                          </a:prstGeom>
                        </pic:spPr>
                      </pic:pic>
                    </a:graphicData>
                  </a:graphic>
                </wp:anchor>
              </w:drawing>
            </w:r>
            <w:r>
              <w:rPr>
                <w:rFonts w:ascii="新宋体" w:hAnsi="新宋体" w:eastAsia="新宋体" w:cs="新宋体"/>
                <w:spacing w:val="4"/>
                <w:sz w:val="20"/>
                <w:szCs w:val="20"/>
                <w:u w:val="single" w:color="CBCBCB"/>
                <w:shd w:val="clear" w:fill="F3F3F3"/>
              </w:rPr>
              <w:t>245.1)/20)/0.01</w:t>
            </w:r>
            <w:r>
              <w:rPr>
                <w:position w:val="-4"/>
                <w:sz w:val="20"/>
                <w:szCs w:val="20"/>
                <w:shd w:val="clear" w:fill="F3F3F3"/>
              </w:rPr>
              <w:drawing>
                <wp:inline distT="0" distB="0" distL="0" distR="0">
                  <wp:extent cx="34290" cy="15176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7"/>
                          <a:stretch>
                            <a:fillRect/>
                          </a:stretch>
                        </pic:blipFill>
                        <pic:spPr>
                          <a:xfrm>
                            <a:off x="0" y="0"/>
                            <a:ext cx="34527" cy="152397"/>
                          </a:xfrm>
                          <a:prstGeom prst="rect">
                            <a:avLst/>
                          </a:prstGeom>
                        </pic:spPr>
                      </pic:pic>
                    </a:graphicData>
                  </a:graphic>
                </wp:inline>
              </w:drawing>
            </w:r>
          </w:p>
        </w:tc>
        <w:tc>
          <w:tcPr>
            <w:tcW w:w="846" w:type="dxa"/>
            <w:vMerge w:val="continue"/>
            <w:tcBorders>
              <w:top w:val="nil"/>
            </w:tcBorders>
            <w:vAlign w:val="top"/>
          </w:tcPr>
          <w:p w14:paraId="6FA7C966">
            <w:pPr>
              <w:rPr>
                <w:rFonts w:ascii="Arial"/>
                <w:sz w:val="21"/>
              </w:rPr>
            </w:pPr>
          </w:p>
        </w:tc>
      </w:tr>
      <w:tr w14:paraId="39714949">
        <w:tblPrEx>
          <w:tblBorders>
            <w:top w:val="single" w:color="DCDCDC" w:sz="6" w:space="0"/>
            <w:left w:val="single" w:color="DCDCDC" w:sz="6" w:space="0"/>
            <w:bottom w:val="single" w:color="DCDCDC" w:sz="6" w:space="0"/>
            <w:right w:val="single" w:color="DCDCDC" w:sz="6" w:space="0"/>
            <w:insideH w:val="single" w:color="DCDCDC" w:sz="6" w:space="0"/>
            <w:insideV w:val="single" w:color="DCDCDC" w:sz="6" w:space="0"/>
          </w:tblBorders>
          <w:tblCellMar>
            <w:top w:w="0" w:type="dxa"/>
            <w:left w:w="0" w:type="dxa"/>
            <w:bottom w:w="0" w:type="dxa"/>
            <w:right w:w="0" w:type="dxa"/>
          </w:tblCellMar>
        </w:tblPrEx>
        <w:trPr>
          <w:trHeight w:val="1126" w:hRule="atLeast"/>
        </w:trPr>
        <w:tc>
          <w:tcPr>
            <w:tcW w:w="1476" w:type="dxa"/>
            <w:shd w:val="clear" w:color="auto" w:fill="F7F7F7"/>
            <w:vAlign w:val="top"/>
          </w:tcPr>
          <w:p w14:paraId="201F7250">
            <w:pPr>
              <w:pStyle w:val="9"/>
              <w:spacing w:before="277" w:line="193" w:lineRule="auto"/>
              <w:ind w:left="291"/>
            </w:pPr>
            <w:r>
              <w:rPr>
                <w:color w:val="32373F"/>
              </w:rPr>
              <w:t>字节 4–5</w:t>
            </w:r>
          </w:p>
          <w:p w14:paraId="091A12F3">
            <w:pPr>
              <w:pStyle w:val="9"/>
              <w:spacing w:line="223" w:lineRule="auto"/>
              <w:ind w:left="398"/>
            </w:pPr>
            <w:r>
              <w:rPr>
                <w:color w:val="32373F"/>
                <w:spacing w:val="-6"/>
              </w:rPr>
              <w:t>（C1）</w:t>
            </w:r>
          </w:p>
        </w:tc>
        <w:tc>
          <w:tcPr>
            <w:tcW w:w="4044" w:type="dxa"/>
            <w:shd w:val="clear" w:color="auto" w:fill="F7F7F7"/>
            <w:vAlign w:val="top"/>
          </w:tcPr>
          <w:p w14:paraId="5115A753">
            <w:pPr>
              <w:pStyle w:val="9"/>
              <w:spacing w:before="127" w:line="193" w:lineRule="auto"/>
              <w:ind w:left="272"/>
            </w:pPr>
            <w:r>
              <w:rPr>
                <w:color w:val="32373F"/>
              </w:rPr>
              <w:t>FEE</w:t>
            </w:r>
            <w:r>
              <w:rPr>
                <w:color w:val="32373F"/>
                <w:spacing w:val="6"/>
              </w:rPr>
              <w:t>5：主份 +5 V 电流；</w:t>
            </w:r>
            <w:r>
              <w:rPr>
                <w:color w:val="32373F"/>
                <w:spacing w:val="-36"/>
              </w:rPr>
              <w:t xml:space="preserve"> </w:t>
            </w:r>
            <w:r>
              <w:rPr>
                <w:color w:val="32373F"/>
              </w:rPr>
              <w:t>FEE</w:t>
            </w:r>
            <w:r>
              <w:rPr>
                <w:color w:val="32373F"/>
                <w:spacing w:val="6"/>
              </w:rPr>
              <w:t>6：备</w:t>
            </w:r>
          </w:p>
          <w:p w14:paraId="067FD35B">
            <w:pPr>
              <w:pStyle w:val="9"/>
              <w:spacing w:before="1" w:line="190" w:lineRule="auto"/>
              <w:ind w:left="240"/>
            </w:pPr>
            <w:r>
              <w:rPr>
                <w:color w:val="32373F"/>
                <w:spacing w:val="-3"/>
              </w:rPr>
              <w:t>份 +5 V 电流；</w:t>
            </w:r>
            <w:r>
              <w:rPr>
                <w:color w:val="32373F"/>
                <w:spacing w:val="-43"/>
              </w:rPr>
              <w:t xml:space="preserve"> </w:t>
            </w:r>
            <w:r>
              <w:rPr>
                <w:color w:val="32373F"/>
                <w:spacing w:val="-3"/>
              </w:rPr>
              <w:t>FEE7：主份</w:t>
            </w:r>
            <w:r>
              <w:rPr>
                <w:color w:val="32373F"/>
                <w:spacing w:val="12"/>
              </w:rPr>
              <w:t xml:space="preserve"> </w:t>
            </w:r>
            <w:r>
              <w:rPr>
                <w:color w:val="32373F"/>
                <w:spacing w:val="-3"/>
              </w:rPr>
              <w:t xml:space="preserve">一5 </w:t>
            </w:r>
            <w:r>
              <w:rPr>
                <w:color w:val="32373F"/>
                <w:spacing w:val="-4"/>
              </w:rPr>
              <w:t>V</w:t>
            </w:r>
            <w:r>
              <w:rPr>
                <w:color w:val="32373F"/>
                <w:spacing w:val="13"/>
              </w:rPr>
              <w:t xml:space="preserve"> </w:t>
            </w:r>
            <w:r>
              <w:rPr>
                <w:color w:val="32373F"/>
                <w:spacing w:val="-4"/>
              </w:rPr>
              <w:t>电</w:t>
            </w:r>
          </w:p>
          <w:p w14:paraId="66E511B9">
            <w:pPr>
              <w:pStyle w:val="9"/>
              <w:spacing w:before="1" w:line="237" w:lineRule="auto"/>
              <w:ind w:left="650"/>
            </w:pPr>
            <w:r>
              <w:rPr>
                <w:color w:val="32373F"/>
                <w:spacing w:val="-2"/>
              </w:rPr>
              <w:t>流；</w:t>
            </w:r>
            <w:r>
              <w:rPr>
                <w:color w:val="32373F"/>
                <w:spacing w:val="-37"/>
              </w:rPr>
              <w:t xml:space="preserve"> </w:t>
            </w:r>
            <w:r>
              <w:rPr>
                <w:color w:val="32373F"/>
                <w:spacing w:val="-2"/>
              </w:rPr>
              <w:t>FEE8：备份 一5 V</w:t>
            </w:r>
            <w:r>
              <w:rPr>
                <w:color w:val="32373F"/>
                <w:spacing w:val="13"/>
              </w:rPr>
              <w:t xml:space="preserve"> </w:t>
            </w:r>
            <w:r>
              <w:rPr>
                <w:color w:val="32373F"/>
                <w:spacing w:val="-2"/>
              </w:rPr>
              <w:t>电流</w:t>
            </w:r>
          </w:p>
        </w:tc>
        <w:tc>
          <w:tcPr>
            <w:tcW w:w="3969" w:type="dxa"/>
            <w:shd w:val="clear" w:color="auto" w:fill="F7F7F7"/>
            <w:vAlign w:val="top"/>
          </w:tcPr>
          <w:p w14:paraId="26E49891">
            <w:pPr>
              <w:spacing w:line="248" w:lineRule="auto"/>
              <w:rPr>
                <w:rFonts w:ascii="Arial"/>
                <w:sz w:val="21"/>
              </w:rPr>
            </w:pPr>
            <w:r>
              <w:drawing>
                <wp:anchor distT="0" distB="0" distL="0" distR="0" simplePos="0" relativeHeight="251661312" behindDoc="0" locked="0" layoutInCell="1" allowOverlap="1">
                  <wp:simplePos x="0" y="0"/>
                  <wp:positionH relativeFrom="rightMargin">
                    <wp:posOffset>-1919605</wp:posOffset>
                  </wp:positionH>
                  <wp:positionV relativeFrom="topMargin">
                    <wp:posOffset>95885</wp:posOffset>
                  </wp:positionV>
                  <wp:extent cx="1333500" cy="20955"/>
                  <wp:effectExtent l="0" t="0" r="0" b="0"/>
                  <wp:wrapNone/>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8"/>
                          <a:stretch>
                            <a:fillRect/>
                          </a:stretch>
                        </pic:blipFill>
                        <pic:spPr>
                          <a:xfrm>
                            <a:off x="0" y="0"/>
                            <a:ext cx="1333499" cy="20832"/>
                          </a:xfrm>
                          <a:prstGeom prst="rect">
                            <a:avLst/>
                          </a:prstGeom>
                        </pic:spPr>
                      </pic:pic>
                    </a:graphicData>
                  </a:graphic>
                </wp:anchor>
              </w:drawing>
            </w:r>
            <w:r>
              <w:drawing>
                <wp:anchor distT="0" distB="0" distL="0" distR="0" simplePos="0" relativeHeight="251660288" behindDoc="0" locked="0" layoutInCell="1" allowOverlap="1">
                  <wp:simplePos x="0" y="0"/>
                  <wp:positionH relativeFrom="rightMargin">
                    <wp:posOffset>-2252980</wp:posOffset>
                  </wp:positionH>
                  <wp:positionV relativeFrom="topMargin">
                    <wp:posOffset>286385</wp:posOffset>
                  </wp:positionV>
                  <wp:extent cx="1095375" cy="20955"/>
                  <wp:effectExtent l="0" t="0" r="0" b="0"/>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9"/>
                          <a:stretch>
                            <a:fillRect/>
                          </a:stretch>
                        </pic:blipFill>
                        <pic:spPr>
                          <a:xfrm>
                            <a:off x="0" y="0"/>
                            <a:ext cx="1095374" cy="20832"/>
                          </a:xfrm>
                          <a:prstGeom prst="rect">
                            <a:avLst/>
                          </a:prstGeom>
                        </pic:spPr>
                      </pic:pic>
                    </a:graphicData>
                  </a:graphic>
                </wp:anchor>
              </w:drawing>
            </w:r>
          </w:p>
          <w:p w14:paraId="7EBF07DE">
            <w:pPr>
              <w:spacing w:line="249" w:lineRule="auto"/>
              <w:rPr>
                <w:rFonts w:ascii="Arial"/>
                <w:sz w:val="21"/>
              </w:rPr>
            </w:pPr>
          </w:p>
          <w:p w14:paraId="33173FFA">
            <w:pPr>
              <w:spacing w:line="249" w:lineRule="auto"/>
              <w:rPr>
                <w:rFonts w:ascii="Arial"/>
                <w:sz w:val="21"/>
              </w:rPr>
            </w:pPr>
          </w:p>
          <w:p w14:paraId="2F56505A">
            <w:pPr>
              <w:spacing w:line="240" w:lineRule="exact"/>
              <w:ind w:left="1065"/>
            </w:pPr>
            <w:r>
              <w:pict>
                <v:shape id="_x0000_s1026" o:spid="_x0000_s1026" o:spt="202" type="#_x0000_t202" style="position:absolute;left:0pt;margin-left:19.45pt;margin-top:-30.95pt;height:47.8pt;width:159.5pt;z-index:251662336;mso-width-relative:page;mso-height-relative:page;" filled="f" stroked="f" coordsize="21600,21600">
                  <v:path/>
                  <v:fill on="f" focussize="0,0"/>
                  <v:stroke on="f"/>
                  <v:imagedata o:title=""/>
                  <o:lock v:ext="edit" aspectratio="f"/>
                  <v:textbox inset="0mm,0mm,0mm,0mm">
                    <w:txbxContent>
                      <w:p w14:paraId="6D0D93D9">
                        <w:pPr>
                          <w:pStyle w:val="9"/>
                          <w:spacing w:before="20" w:line="183" w:lineRule="auto"/>
                          <w:ind w:left="540"/>
                          <w:rPr>
                            <w:sz w:val="20"/>
                            <w:szCs w:val="20"/>
                          </w:rPr>
                        </w:pPr>
                        <w:r>
                          <w:rPr>
                            <w:rFonts w:ascii="新宋体" w:hAnsi="新宋体" w:eastAsia="新宋体" w:cs="新宋体"/>
                            <w:position w:val="-3"/>
                            <w:sz w:val="20"/>
                            <w:szCs w:val="20"/>
                          </w:rPr>
                          <w:drawing>
                            <wp:inline distT="0" distB="0" distL="0" distR="0">
                              <wp:extent cx="20320" cy="15176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20"/>
                                      <a:stretch>
                                        <a:fillRect/>
                                      </a:stretch>
                                    </pic:blipFill>
                                    <pic:spPr>
                                      <a:xfrm>
                                        <a:off x="0" y="0"/>
                                        <a:ext cx="20835" cy="152396"/>
                                      </a:xfrm>
                                      <a:prstGeom prst="rect">
                                        <a:avLst/>
                                      </a:prstGeom>
                                    </pic:spPr>
                                  </pic:pic>
                                </a:graphicData>
                              </a:graphic>
                            </wp:inline>
                          </w:drawing>
                        </w:r>
                        <w:r>
                          <w:rPr>
                            <w:rFonts w:ascii="新宋体" w:hAnsi="新宋体" w:eastAsia="新宋体" w:cs="新宋体"/>
                            <w:spacing w:val="-24"/>
                            <w:sz w:val="20"/>
                            <w:szCs w:val="20"/>
                            <w:u w:val="single" w:color="CBCBCB"/>
                          </w:rPr>
                          <w:t xml:space="preserve"> </w:t>
                        </w:r>
                        <w:r>
                          <w:rPr>
                            <w:rFonts w:ascii="新宋体" w:hAnsi="新宋体" w:eastAsia="新宋体" w:cs="新宋体"/>
                            <w:spacing w:val="2"/>
                            <w:sz w:val="20"/>
                            <w:szCs w:val="20"/>
                            <w:u w:val="single" w:color="CBCBCB"/>
                          </w:rPr>
                          <w:t>((</w:t>
                        </w:r>
                        <w:r>
                          <w:rPr>
                            <w:rFonts w:ascii="新宋体" w:hAnsi="新宋体" w:eastAsia="新宋体" w:cs="新宋体"/>
                            <w:sz w:val="20"/>
                            <w:szCs w:val="20"/>
                            <w:u w:val="single" w:color="CBCBCB"/>
                          </w:rPr>
                          <w:t>cur</w:t>
                        </w:r>
                        <w:r>
                          <w:rPr>
                            <w:rFonts w:ascii="新宋体" w:hAnsi="新宋体" w:eastAsia="新宋体" w:cs="新宋体"/>
                            <w:spacing w:val="2"/>
                            <w:sz w:val="20"/>
                            <w:szCs w:val="20"/>
                            <w:u w:val="single" w:color="CBCBCB"/>
                          </w:rPr>
                          <w:t>1×2500/4096</w:t>
                        </w:r>
                        <w:r>
                          <w:rPr>
                            <w:rFonts w:ascii="新宋体" w:hAnsi="新宋体" w:eastAsia="新宋体" w:cs="新宋体"/>
                            <w:spacing w:val="34"/>
                            <w:sz w:val="20"/>
                            <w:szCs w:val="20"/>
                            <w:u w:val="single" w:color="CBCBCB"/>
                          </w:rPr>
                          <w:t xml:space="preserve"> </w:t>
                        </w:r>
                        <w:r>
                          <w:rPr>
                            <w:spacing w:val="2"/>
                            <w:sz w:val="20"/>
                            <w:szCs w:val="20"/>
                            <w:u w:val="single" w:color="CBCBCB"/>
                          </w:rPr>
                          <w:t>−</w:t>
                        </w:r>
                      </w:p>
                      <w:p w14:paraId="315A3AD3">
                        <w:pPr>
                          <w:pStyle w:val="9"/>
                          <w:spacing w:before="1" w:line="190" w:lineRule="auto"/>
                          <w:ind w:left="20"/>
                        </w:pPr>
                        <w:r>
                          <w:rPr>
                            <w:rFonts w:ascii="新宋体" w:hAnsi="新宋体" w:eastAsia="新宋体" w:cs="新宋体"/>
                            <w:spacing w:val="5"/>
                            <w:sz w:val="20"/>
                            <w:szCs w:val="20"/>
                            <w:u w:val="single" w:color="CBCBCB"/>
                          </w:rPr>
                          <w:t>245.1)/20)/0.125</w:t>
                        </w:r>
                        <w:r>
                          <w:rPr>
                            <w:position w:val="-4"/>
                            <w:sz w:val="20"/>
                            <w:szCs w:val="20"/>
                          </w:rPr>
                          <w:drawing>
                            <wp:inline distT="0" distB="0" distL="0" distR="0">
                              <wp:extent cx="34290" cy="15176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21"/>
                                      <a:stretch>
                                        <a:fillRect/>
                                      </a:stretch>
                                    </pic:blipFill>
                                    <pic:spPr>
                                      <a:xfrm>
                                        <a:off x="0" y="0"/>
                                        <a:ext cx="34676" cy="152396"/>
                                      </a:xfrm>
                                      <a:prstGeom prst="rect">
                                        <a:avLst/>
                                      </a:prstGeom>
                                    </pic:spPr>
                                  </pic:pic>
                                </a:graphicData>
                              </a:graphic>
                            </wp:inline>
                          </w:drawing>
                        </w:r>
                        <w:r>
                          <w:rPr>
                            <w:color w:val="32373F"/>
                            <w:spacing w:val="5"/>
                          </w:rPr>
                          <w:t>（</w:t>
                        </w:r>
                        <w:r>
                          <w:rPr>
                            <w:color w:val="32373F"/>
                          </w:rPr>
                          <w:t>FEE</w:t>
                        </w:r>
                        <w:r>
                          <w:rPr>
                            <w:color w:val="32373F"/>
                            <w:spacing w:val="5"/>
                          </w:rPr>
                          <w:t>5/6）或</w:t>
                        </w:r>
                      </w:p>
                      <w:p w14:paraId="36D9DA8A">
                        <w:pPr>
                          <w:pStyle w:val="9"/>
                          <w:spacing w:before="1" w:line="224" w:lineRule="auto"/>
                          <w:ind w:left="734"/>
                        </w:pPr>
                        <w:r>
                          <w:rPr>
                            <w:rFonts w:ascii="新宋体" w:hAnsi="新宋体" w:eastAsia="新宋体" w:cs="新宋体"/>
                            <w:spacing w:val="5"/>
                            <w:sz w:val="20"/>
                            <w:szCs w:val="20"/>
                          </w:rPr>
                          <w:t>/0.25</w:t>
                        </w:r>
                        <w:r>
                          <w:rPr>
                            <w:rFonts w:ascii="新宋体" w:hAnsi="新宋体" w:eastAsia="新宋体" w:cs="新宋体"/>
                            <w:spacing w:val="-35"/>
                            <w:sz w:val="20"/>
                            <w:szCs w:val="20"/>
                          </w:rPr>
                          <w:t xml:space="preserve"> </w:t>
                        </w:r>
                        <w:r>
                          <w:rPr>
                            <w:color w:val="32373F"/>
                            <w:spacing w:val="5"/>
                          </w:rPr>
                          <w:t>（</w:t>
                        </w:r>
                        <w:r>
                          <w:rPr>
                            <w:color w:val="32373F"/>
                          </w:rPr>
                          <w:t>FEE</w:t>
                        </w:r>
                        <w:r>
                          <w:rPr>
                            <w:color w:val="32373F"/>
                            <w:spacing w:val="5"/>
                          </w:rPr>
                          <w:t>7/8）</w:t>
                        </w:r>
                      </w:p>
                    </w:txbxContent>
                  </v:textbox>
                </v:shape>
              </w:pict>
            </w:r>
            <w:r>
              <w:rPr>
                <w:position w:val="-5"/>
              </w:rPr>
              <w:drawing>
                <wp:inline distT="0" distB="0" distL="0" distR="0">
                  <wp:extent cx="400050" cy="15240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22"/>
                          <a:stretch>
                            <a:fillRect/>
                          </a:stretch>
                        </pic:blipFill>
                        <pic:spPr>
                          <a:xfrm>
                            <a:off x="0" y="0"/>
                            <a:ext cx="400050" cy="152400"/>
                          </a:xfrm>
                          <a:prstGeom prst="rect">
                            <a:avLst/>
                          </a:prstGeom>
                        </pic:spPr>
                      </pic:pic>
                    </a:graphicData>
                  </a:graphic>
                </wp:inline>
              </w:drawing>
            </w:r>
          </w:p>
        </w:tc>
        <w:tc>
          <w:tcPr>
            <w:tcW w:w="846" w:type="dxa"/>
            <w:shd w:val="clear" w:color="auto" w:fill="F7F7F7"/>
            <w:vAlign w:val="top"/>
          </w:tcPr>
          <w:p w14:paraId="0759F4BC">
            <w:pPr>
              <w:spacing w:line="386" w:lineRule="auto"/>
              <w:rPr>
                <w:rFonts w:ascii="Arial"/>
                <w:sz w:val="21"/>
              </w:rPr>
            </w:pPr>
          </w:p>
          <w:p w14:paraId="4F269254">
            <w:pPr>
              <w:pStyle w:val="9"/>
              <w:spacing w:before="94" w:line="168" w:lineRule="auto"/>
              <w:ind w:left="265"/>
            </w:pPr>
            <w:r>
              <w:rPr>
                <w:color w:val="32373F"/>
                <w:spacing w:val="-11"/>
              </w:rPr>
              <w:t>mA</w:t>
            </w:r>
          </w:p>
        </w:tc>
      </w:tr>
    </w:tbl>
    <w:p w14:paraId="5958BAF6">
      <w:pPr>
        <w:rPr>
          <w:rFonts w:ascii="Arial"/>
          <w:sz w:val="21"/>
        </w:rPr>
      </w:pPr>
    </w:p>
    <w:p w14:paraId="48BF501B">
      <w:pPr>
        <w:rPr>
          <w:rFonts w:ascii="Arial" w:hAnsi="Arial" w:eastAsia="Arial" w:cs="Arial"/>
          <w:sz w:val="21"/>
          <w:szCs w:val="21"/>
        </w:rPr>
        <w:sectPr>
          <w:headerReference r:id="rId6" w:type="default"/>
          <w:pgSz w:w="11919" w:h="16858"/>
          <w:pgMar w:top="400" w:right="783" w:bottom="0" w:left="785" w:header="0" w:footer="0" w:gutter="0"/>
          <w:cols w:space="720" w:num="1"/>
        </w:sectPr>
      </w:pPr>
    </w:p>
    <w:p w14:paraId="2EB21507">
      <w:pPr>
        <w:spacing w:line="160" w:lineRule="exact"/>
      </w:pPr>
    </w:p>
    <w:tbl>
      <w:tblPr>
        <w:tblStyle w:val="8"/>
        <w:tblW w:w="10335" w:type="dxa"/>
        <w:tblInd w:w="7" w:type="dxa"/>
        <w:tblBorders>
          <w:top w:val="single" w:color="DCDCDC" w:sz="6" w:space="0"/>
          <w:left w:val="single" w:color="DCDCDC" w:sz="6" w:space="0"/>
          <w:bottom w:val="single" w:color="DCDCDC" w:sz="6" w:space="0"/>
          <w:right w:val="single" w:color="DCDCDC" w:sz="6" w:space="0"/>
          <w:insideH w:val="single" w:color="DCDCDC" w:sz="6" w:space="0"/>
          <w:insideV w:val="single" w:color="DCDCDC" w:sz="6" w:space="0"/>
        </w:tblBorders>
        <w:tblLayout w:type="fixed"/>
        <w:tblCellMar>
          <w:top w:w="0" w:type="dxa"/>
          <w:left w:w="0" w:type="dxa"/>
          <w:bottom w:w="0" w:type="dxa"/>
          <w:right w:w="0" w:type="dxa"/>
        </w:tblCellMar>
      </w:tblPr>
      <w:tblGrid>
        <w:gridCol w:w="1476"/>
        <w:gridCol w:w="4044"/>
        <w:gridCol w:w="3969"/>
        <w:gridCol w:w="846"/>
      </w:tblGrid>
      <w:tr w14:paraId="7DBA175D">
        <w:tblPrEx>
          <w:tblBorders>
            <w:top w:val="single" w:color="DCDCDC" w:sz="6" w:space="0"/>
            <w:left w:val="single" w:color="DCDCDC" w:sz="6" w:space="0"/>
            <w:bottom w:val="single" w:color="DCDCDC" w:sz="6" w:space="0"/>
            <w:right w:val="single" w:color="DCDCDC" w:sz="6" w:space="0"/>
            <w:insideH w:val="single" w:color="DCDCDC" w:sz="6" w:space="0"/>
            <w:insideV w:val="single" w:color="DCDCDC" w:sz="6" w:space="0"/>
          </w:tblBorders>
          <w:tblCellMar>
            <w:top w:w="0" w:type="dxa"/>
            <w:left w:w="0" w:type="dxa"/>
            <w:bottom w:w="0" w:type="dxa"/>
            <w:right w:w="0" w:type="dxa"/>
          </w:tblCellMar>
        </w:tblPrEx>
        <w:trPr>
          <w:trHeight w:val="832" w:hRule="atLeast"/>
        </w:trPr>
        <w:tc>
          <w:tcPr>
            <w:tcW w:w="1476" w:type="dxa"/>
            <w:shd w:val="clear" w:color="auto" w:fill="F7F7F7"/>
            <w:vAlign w:val="top"/>
          </w:tcPr>
          <w:p w14:paraId="0A85299F">
            <w:pPr>
              <w:pStyle w:val="9"/>
              <w:spacing w:before="318" w:line="186" w:lineRule="auto"/>
              <w:ind w:left="286"/>
            </w:pPr>
            <w:r>
              <w:rPr>
                <w:b/>
                <w:bCs/>
                <w:color w:val="32373F"/>
                <w:spacing w:val="3"/>
              </w:rPr>
              <w:t>字节地址</w:t>
            </w:r>
          </w:p>
        </w:tc>
        <w:tc>
          <w:tcPr>
            <w:tcW w:w="4044" w:type="dxa"/>
            <w:shd w:val="clear" w:color="auto" w:fill="F7F7F7"/>
            <w:vAlign w:val="top"/>
          </w:tcPr>
          <w:p w14:paraId="4D3D7EAA">
            <w:pPr>
              <w:pStyle w:val="9"/>
              <w:spacing w:before="319" w:line="186" w:lineRule="auto"/>
              <w:ind w:left="1566"/>
            </w:pPr>
            <w:r>
              <w:rPr>
                <w:b/>
                <w:bCs/>
                <w:color w:val="32373F"/>
                <w:spacing w:val="4"/>
              </w:rPr>
              <w:t>对应参数</w:t>
            </w:r>
          </w:p>
        </w:tc>
        <w:tc>
          <w:tcPr>
            <w:tcW w:w="3969" w:type="dxa"/>
            <w:shd w:val="clear" w:color="auto" w:fill="F7F7F7"/>
            <w:vAlign w:val="top"/>
          </w:tcPr>
          <w:p w14:paraId="1695D694">
            <w:pPr>
              <w:pStyle w:val="9"/>
              <w:spacing w:before="319" w:line="186" w:lineRule="auto"/>
              <w:ind w:left="1532"/>
            </w:pPr>
            <w:r>
              <w:rPr>
                <w:b/>
                <w:bCs/>
                <w:color w:val="32373F"/>
                <w:spacing w:val="4"/>
              </w:rPr>
              <w:t>转换公式</w:t>
            </w:r>
          </w:p>
        </w:tc>
        <w:tc>
          <w:tcPr>
            <w:tcW w:w="846" w:type="dxa"/>
            <w:shd w:val="clear" w:color="auto" w:fill="F7F7F7"/>
            <w:textDirection w:val="tbRlV"/>
            <w:vAlign w:val="top"/>
          </w:tcPr>
          <w:p w14:paraId="7EB1C137">
            <w:pPr>
              <w:pStyle w:val="9"/>
              <w:spacing w:before="299" w:line="183" w:lineRule="auto"/>
              <w:ind w:left="168"/>
            </w:pPr>
            <w:r>
              <w:rPr>
                <w:b/>
                <w:bCs/>
                <w:color w:val="32373F"/>
              </w:rPr>
              <w:t>单</w:t>
            </w:r>
            <w:r>
              <w:rPr>
                <w:b/>
                <w:bCs/>
                <w:color w:val="32373F"/>
                <w:spacing w:val="14"/>
              </w:rPr>
              <w:t xml:space="preserve"> </w:t>
            </w:r>
            <w:r>
              <w:rPr>
                <w:b/>
                <w:bCs/>
                <w:color w:val="32373F"/>
              </w:rPr>
              <w:t>位</w:t>
            </w:r>
          </w:p>
        </w:tc>
      </w:tr>
      <w:tr w14:paraId="6B555DCE">
        <w:tblPrEx>
          <w:tblBorders>
            <w:top w:val="single" w:color="DCDCDC" w:sz="6" w:space="0"/>
            <w:left w:val="single" w:color="DCDCDC" w:sz="6" w:space="0"/>
            <w:bottom w:val="single" w:color="DCDCDC" w:sz="6" w:space="0"/>
            <w:right w:val="single" w:color="DCDCDC" w:sz="6" w:space="0"/>
            <w:insideH w:val="single" w:color="DCDCDC" w:sz="6" w:space="0"/>
            <w:insideV w:val="single" w:color="DCDCDC" w:sz="6" w:space="0"/>
          </w:tblBorders>
          <w:tblCellMar>
            <w:top w:w="0" w:type="dxa"/>
            <w:left w:w="0" w:type="dxa"/>
            <w:bottom w:w="0" w:type="dxa"/>
            <w:right w:w="0" w:type="dxa"/>
          </w:tblCellMar>
        </w:tblPrEx>
        <w:trPr>
          <w:trHeight w:val="833" w:hRule="atLeast"/>
        </w:trPr>
        <w:tc>
          <w:tcPr>
            <w:tcW w:w="1476" w:type="dxa"/>
            <w:vAlign w:val="top"/>
          </w:tcPr>
          <w:p w14:paraId="73C2CFFB">
            <w:pPr>
              <w:pStyle w:val="9"/>
              <w:spacing w:before="119" w:line="193" w:lineRule="auto"/>
              <w:ind w:left="291"/>
            </w:pPr>
            <w:r>
              <w:rPr>
                <w:color w:val="32373F"/>
              </w:rPr>
              <w:t>字节 6–7</w:t>
            </w:r>
          </w:p>
          <w:p w14:paraId="7F3D9C95">
            <w:pPr>
              <w:pStyle w:val="9"/>
              <w:spacing w:line="223" w:lineRule="auto"/>
              <w:ind w:left="398"/>
            </w:pPr>
            <w:r>
              <w:rPr>
                <w:color w:val="32373F"/>
                <w:spacing w:val="-6"/>
              </w:rPr>
              <w:t>（C2）</w:t>
            </w:r>
          </w:p>
        </w:tc>
        <w:tc>
          <w:tcPr>
            <w:tcW w:w="4044" w:type="dxa"/>
            <w:vAlign w:val="top"/>
          </w:tcPr>
          <w:p w14:paraId="09CABE54">
            <w:pPr>
              <w:pStyle w:val="9"/>
              <w:spacing w:before="315" w:line="184" w:lineRule="auto"/>
              <w:ind w:left="1564"/>
            </w:pPr>
            <w:r>
              <w:rPr>
                <w:color w:val="32373F"/>
                <w:spacing w:val="4"/>
              </w:rPr>
              <w:t>不做处理</w:t>
            </w:r>
          </w:p>
        </w:tc>
        <w:tc>
          <w:tcPr>
            <w:tcW w:w="3969" w:type="dxa"/>
            <w:vAlign w:val="top"/>
          </w:tcPr>
          <w:p w14:paraId="698FC2A5">
            <w:pPr>
              <w:pStyle w:val="9"/>
              <w:spacing w:before="312" w:line="186" w:lineRule="auto"/>
              <w:ind w:left="1308"/>
            </w:pPr>
            <w:r>
              <w:rPr>
                <w:color w:val="32373F"/>
                <w:spacing w:val="4"/>
              </w:rPr>
              <w:t>无有效物理量</w:t>
            </w:r>
          </w:p>
        </w:tc>
        <w:tc>
          <w:tcPr>
            <w:tcW w:w="846" w:type="dxa"/>
            <w:vAlign w:val="top"/>
          </w:tcPr>
          <w:p w14:paraId="7087AD31">
            <w:pPr>
              <w:rPr>
                <w:rFonts w:ascii="Arial"/>
                <w:sz w:val="21"/>
              </w:rPr>
            </w:pPr>
          </w:p>
        </w:tc>
      </w:tr>
    </w:tbl>
    <w:p w14:paraId="24BE6D7E">
      <w:pPr>
        <w:pStyle w:val="2"/>
        <w:spacing w:before="302" w:line="229" w:lineRule="auto"/>
        <w:ind w:left="10"/>
        <w:outlineLvl w:val="2"/>
      </w:pPr>
      <w:r>
        <w:rPr>
          <w:rFonts w:ascii="Arial" w:hAnsi="Arial" w:eastAsia="Arial" w:cs="Arial"/>
          <w:b/>
          <w:bCs/>
          <w:color w:val="32373F"/>
          <w:spacing w:val="-1"/>
        </w:rPr>
        <w:t>C0</w:t>
      </w:r>
      <w:r>
        <w:rPr>
          <w:b/>
          <w:bCs/>
          <w:color w:val="32373F"/>
          <w:spacing w:val="-1"/>
        </w:rPr>
        <w:t>（</w:t>
      </w:r>
      <w:r>
        <w:rPr>
          <w:rFonts w:ascii="Arial" w:hAnsi="Arial" w:eastAsia="Arial" w:cs="Arial"/>
          <w:b/>
          <w:bCs/>
          <w:color w:val="32373F"/>
          <w:spacing w:val="-1"/>
        </w:rPr>
        <w:t>1.8 V</w:t>
      </w:r>
      <w:r>
        <w:rPr>
          <w:rFonts w:ascii="Arial" w:hAnsi="Arial" w:eastAsia="Arial" w:cs="Arial"/>
          <w:b/>
          <w:bCs/>
          <w:color w:val="32373F"/>
          <w:spacing w:val="16"/>
        </w:rPr>
        <w:t xml:space="preserve"> </w:t>
      </w:r>
      <w:r>
        <w:rPr>
          <w:b/>
          <w:bCs/>
          <w:color w:val="32373F"/>
          <w:spacing w:val="-1"/>
        </w:rPr>
        <w:t>电流）</w:t>
      </w:r>
    </w:p>
    <w:p w14:paraId="333782B0">
      <w:pPr>
        <w:pStyle w:val="2"/>
        <w:spacing w:before="45" w:line="187" w:lineRule="auto"/>
        <w:ind w:left="20"/>
      </w:pPr>
      <w:r>
        <w:rPr>
          <w:color w:val="32373F"/>
          <w:spacing w:val="4"/>
        </w:rPr>
        <w:t xml:space="preserve">四块板卡的 C0 纵轴单位为 </w:t>
      </w:r>
      <w:r>
        <w:rPr>
          <w:color w:val="32373F"/>
        </w:rPr>
        <w:t>ADC</w:t>
      </w:r>
      <w:r>
        <w:rPr>
          <w:color w:val="32373F"/>
          <w:spacing w:val="4"/>
        </w:rPr>
        <w:t xml:space="preserve"> 原始计数值（未注明 </w:t>
      </w:r>
      <w:r>
        <w:rPr>
          <w:color w:val="32373F"/>
        </w:rPr>
        <w:t>mA</w:t>
      </w:r>
      <w:r>
        <w:rPr>
          <w:color w:val="32373F"/>
          <w:spacing w:val="-9"/>
        </w:rPr>
        <w:t xml:space="preserve"> </w:t>
      </w:r>
      <w:r>
        <w:rPr>
          <w:color w:val="32373F"/>
          <w:spacing w:val="4"/>
        </w:rPr>
        <w:t>单位），数值范</w:t>
      </w:r>
      <w:r>
        <w:rPr>
          <w:color w:val="32373F"/>
          <w:spacing w:val="3"/>
        </w:rPr>
        <w:t>围各有差异——</w:t>
      </w:r>
      <w:r>
        <w:rPr>
          <w:color w:val="32373F"/>
        </w:rPr>
        <w:t>FEE</w:t>
      </w:r>
      <w:r>
        <w:rPr>
          <w:color w:val="32373F"/>
          <w:spacing w:val="3"/>
        </w:rPr>
        <w:t>5 约为</w:t>
      </w:r>
    </w:p>
    <w:p w14:paraId="049BE956">
      <w:pPr>
        <w:pStyle w:val="2"/>
        <w:spacing w:before="23"/>
        <w:ind w:left="2" w:firstLine="21"/>
      </w:pPr>
      <w:r>
        <w:rPr>
          <w:color w:val="32373F"/>
          <w:spacing w:val="-1"/>
        </w:rPr>
        <w:t>1170–1195、</w:t>
      </w:r>
      <w:r>
        <w:rPr>
          <w:color w:val="32373F"/>
          <w:spacing w:val="-42"/>
        </w:rPr>
        <w:t xml:space="preserve"> </w:t>
      </w:r>
      <w:r>
        <w:rPr>
          <w:color w:val="32373F"/>
          <w:spacing w:val="-1"/>
        </w:rPr>
        <w:t>FEE6 约为</w:t>
      </w:r>
      <w:r>
        <w:rPr>
          <w:color w:val="32373F"/>
          <w:spacing w:val="22"/>
        </w:rPr>
        <w:t xml:space="preserve"> </w:t>
      </w:r>
      <w:r>
        <w:rPr>
          <w:color w:val="32373F"/>
          <w:spacing w:val="-1"/>
        </w:rPr>
        <w:t>1205–1230、</w:t>
      </w:r>
      <w:r>
        <w:rPr>
          <w:color w:val="32373F"/>
          <w:spacing w:val="-41"/>
        </w:rPr>
        <w:t xml:space="preserve"> </w:t>
      </w:r>
      <w:r>
        <w:rPr>
          <w:color w:val="32373F"/>
          <w:spacing w:val="-1"/>
        </w:rPr>
        <w:t>FEE7 约为</w:t>
      </w:r>
      <w:r>
        <w:rPr>
          <w:color w:val="32373F"/>
          <w:spacing w:val="22"/>
        </w:rPr>
        <w:t xml:space="preserve"> </w:t>
      </w:r>
      <w:r>
        <w:rPr>
          <w:color w:val="32373F"/>
          <w:spacing w:val="-1"/>
        </w:rPr>
        <w:t>1235–1265、</w:t>
      </w:r>
      <w:r>
        <w:rPr>
          <w:color w:val="32373F"/>
          <w:spacing w:val="-42"/>
        </w:rPr>
        <w:t xml:space="preserve"> </w:t>
      </w:r>
      <w:r>
        <w:rPr>
          <w:color w:val="32373F"/>
          <w:spacing w:val="-1"/>
        </w:rPr>
        <w:t>FEE8 约为</w:t>
      </w:r>
      <w:r>
        <w:rPr>
          <w:color w:val="32373F"/>
          <w:spacing w:val="22"/>
        </w:rPr>
        <w:t xml:space="preserve"> </w:t>
      </w:r>
      <w:r>
        <w:rPr>
          <w:color w:val="32373F"/>
          <w:spacing w:val="-1"/>
        </w:rPr>
        <w:t>1160–1185。</w:t>
      </w:r>
      <w:r>
        <w:rPr>
          <w:color w:val="32373F"/>
          <w:spacing w:val="-2"/>
        </w:rPr>
        <w:t>各板卡的</w:t>
      </w:r>
      <w:r>
        <w:rPr>
          <w:color w:val="32373F"/>
          <w:spacing w:val="21"/>
        </w:rPr>
        <w:t xml:space="preserve"> </w:t>
      </w:r>
      <w:r>
        <w:rPr>
          <w:color w:val="32373F"/>
          <w:spacing w:val="-2"/>
        </w:rPr>
        <w:t>C0</w:t>
      </w:r>
      <w:r>
        <w:rPr>
          <w:color w:val="32373F"/>
          <w:spacing w:val="17"/>
        </w:rPr>
        <w:t xml:space="preserve"> </w:t>
      </w:r>
      <w:r>
        <w:rPr>
          <w:color w:val="32373F"/>
          <w:spacing w:val="-2"/>
        </w:rPr>
        <w:t>曲</w:t>
      </w:r>
      <w:r>
        <w:rPr>
          <w:color w:val="32373F"/>
          <w:spacing w:val="5"/>
        </w:rPr>
        <w:t>线在整个监测区间内整体保持平稳，未出现系统性漂移趋势，但均存在一定幅度的周期性脉冲式</w:t>
      </w:r>
      <w:r>
        <w:rPr>
          <w:color w:val="32373F"/>
          <w:spacing w:val="4"/>
        </w:rPr>
        <w:t>波动，表</w:t>
      </w:r>
      <w:r>
        <w:rPr>
          <w:color w:val="32373F"/>
          <w:spacing w:val="5"/>
        </w:rPr>
        <w:t xml:space="preserve">现为规律性的向下尖峰。这一现象在四块板卡中普遍存在，为 </w:t>
      </w:r>
      <w:r>
        <w:rPr>
          <w:color w:val="32373F"/>
        </w:rPr>
        <w:t>ADC</w:t>
      </w:r>
      <w:r>
        <w:rPr>
          <w:color w:val="32373F"/>
          <w:spacing w:val="5"/>
        </w:rPr>
        <w:t xml:space="preserve"> 采样</w:t>
      </w:r>
      <w:r>
        <w:rPr>
          <w:color w:val="32373F"/>
          <w:spacing w:val="4"/>
        </w:rPr>
        <w:t>过程中的正常量化噪声或遥测帧</w:t>
      </w:r>
      <w:r>
        <w:rPr>
          <w:color w:val="32373F"/>
          <w:spacing w:val="2"/>
        </w:rPr>
        <w:t>同步引起的周期性扰动，不属于异常突变。</w:t>
      </w:r>
    </w:p>
    <w:p w14:paraId="49CE6BE7">
      <w:pPr>
        <w:pStyle w:val="2"/>
        <w:spacing w:before="226" w:line="229" w:lineRule="auto"/>
        <w:ind w:left="10"/>
      </w:pPr>
      <w:r>
        <w:rPr>
          <w:rFonts w:ascii="Arial" w:hAnsi="Arial" w:eastAsia="Arial" w:cs="Arial"/>
          <w:b/>
          <w:bCs/>
          <w:color w:val="32373F"/>
          <w:spacing w:val="-2"/>
        </w:rPr>
        <w:t>C1</w:t>
      </w:r>
      <w:r>
        <w:rPr>
          <w:rFonts w:ascii="Arial" w:hAnsi="Arial" w:eastAsia="Arial" w:cs="Arial"/>
          <w:b/>
          <w:bCs/>
          <w:color w:val="32373F"/>
          <w:spacing w:val="10"/>
        </w:rPr>
        <w:t xml:space="preserve">  </w:t>
      </w:r>
      <w:r>
        <w:rPr>
          <w:b/>
          <w:bCs/>
          <w:color w:val="32373F"/>
          <w:spacing w:val="-2"/>
        </w:rPr>
        <w:t>(</w:t>
      </w:r>
      <w:r>
        <w:rPr>
          <w:rFonts w:ascii="Arial" w:hAnsi="Arial" w:eastAsia="Arial" w:cs="Arial"/>
          <w:b/>
          <w:bCs/>
          <w:color w:val="32373F"/>
          <w:spacing w:val="-2"/>
        </w:rPr>
        <w:t>±5 V</w:t>
      </w:r>
      <w:r>
        <w:rPr>
          <w:rFonts w:ascii="Arial" w:hAnsi="Arial" w:eastAsia="Arial" w:cs="Arial"/>
          <w:b/>
          <w:bCs/>
          <w:color w:val="32373F"/>
          <w:spacing w:val="16"/>
        </w:rPr>
        <w:t xml:space="preserve"> </w:t>
      </w:r>
      <w:r>
        <w:rPr>
          <w:b/>
          <w:bCs/>
          <w:color w:val="32373F"/>
          <w:spacing w:val="-2"/>
        </w:rPr>
        <w:t>电流）</w:t>
      </w:r>
    </w:p>
    <w:p w14:paraId="7FFC5686">
      <w:pPr>
        <w:pStyle w:val="2"/>
        <w:spacing w:before="4" w:line="232" w:lineRule="auto"/>
        <w:ind w:left="2" w:right="37" w:firstLine="15"/>
      </w:pPr>
      <w:r>
        <w:rPr>
          <w:color w:val="32373F"/>
        </w:rPr>
        <w:t>FEE</w:t>
      </w:r>
      <w:r>
        <w:rPr>
          <w:color w:val="32373F"/>
          <w:spacing w:val="4"/>
        </w:rPr>
        <w:t xml:space="preserve">5 的 C1 对应主份 +5 V 电流，稳定在约427–430 </w:t>
      </w:r>
      <w:r>
        <w:rPr>
          <w:color w:val="32373F"/>
        </w:rPr>
        <w:t>mA</w:t>
      </w:r>
      <w:r>
        <w:rPr>
          <w:color w:val="32373F"/>
          <w:spacing w:val="4"/>
        </w:rPr>
        <w:t>；</w:t>
      </w:r>
      <w:r>
        <w:rPr>
          <w:color w:val="32373F"/>
          <w:spacing w:val="-41"/>
        </w:rPr>
        <w:t xml:space="preserve"> </w:t>
      </w:r>
      <w:r>
        <w:rPr>
          <w:color w:val="32373F"/>
        </w:rPr>
        <w:t>FEE</w:t>
      </w:r>
      <w:r>
        <w:rPr>
          <w:color w:val="32373F"/>
          <w:spacing w:val="4"/>
        </w:rPr>
        <w:t>6 对应备份 +5 V 电流，稳定在</w:t>
      </w:r>
      <w:r>
        <w:rPr>
          <w:color w:val="32373F"/>
          <w:spacing w:val="3"/>
        </w:rPr>
        <w:t>约428–</w:t>
      </w:r>
      <w:r>
        <w:rPr>
          <w:color w:val="32373F"/>
        </w:rPr>
        <w:t xml:space="preserve"> </w:t>
      </w:r>
      <w:r>
        <w:rPr>
          <w:color w:val="32373F"/>
          <w:spacing w:val="-1"/>
        </w:rPr>
        <w:t>430 mA；</w:t>
      </w:r>
      <w:r>
        <w:rPr>
          <w:color w:val="32373F"/>
          <w:spacing w:val="-41"/>
        </w:rPr>
        <w:t xml:space="preserve"> </w:t>
      </w:r>
      <w:r>
        <w:rPr>
          <w:color w:val="32373F"/>
          <w:spacing w:val="-1"/>
        </w:rPr>
        <w:t xml:space="preserve">FEE7 对应主份 一5 V 电流，稳定在约 </w:t>
      </w:r>
      <w:r>
        <w:rPr>
          <w:color w:val="32373F"/>
          <w:spacing w:val="-2"/>
        </w:rPr>
        <w:t>95–97 mA；</w:t>
      </w:r>
      <w:r>
        <w:rPr>
          <w:color w:val="32373F"/>
          <w:spacing w:val="-42"/>
        </w:rPr>
        <w:t xml:space="preserve"> </w:t>
      </w:r>
      <w:r>
        <w:rPr>
          <w:color w:val="32373F"/>
          <w:spacing w:val="-2"/>
        </w:rPr>
        <w:t>FEE8 对应备份</w:t>
      </w:r>
      <w:r>
        <w:rPr>
          <w:color w:val="32373F"/>
          <w:spacing w:val="10"/>
        </w:rPr>
        <w:t xml:space="preserve"> </w:t>
      </w:r>
      <w:r>
        <w:rPr>
          <w:color w:val="32373F"/>
          <w:spacing w:val="-2"/>
        </w:rPr>
        <w:t>一5 V</w:t>
      </w:r>
      <w:r>
        <w:rPr>
          <w:color w:val="32373F"/>
          <w:spacing w:val="13"/>
        </w:rPr>
        <w:t xml:space="preserve"> </w:t>
      </w:r>
      <w:r>
        <w:rPr>
          <w:color w:val="32373F"/>
          <w:spacing w:val="-2"/>
        </w:rPr>
        <w:t>电流，稳定在约</w:t>
      </w:r>
      <w:r>
        <w:rPr>
          <w:color w:val="32373F"/>
          <w:spacing w:val="6"/>
        </w:rPr>
        <w:t xml:space="preserve"> </w:t>
      </w:r>
      <w:r>
        <w:rPr>
          <w:color w:val="32373F"/>
          <w:spacing w:val="-2"/>
        </w:rPr>
        <w:t>94–</w:t>
      </w:r>
      <w:r>
        <w:rPr>
          <w:color w:val="32373F"/>
        </w:rPr>
        <w:t xml:space="preserve"> </w:t>
      </w:r>
      <w:r>
        <w:rPr>
          <w:color w:val="32373F"/>
          <w:spacing w:val="5"/>
        </w:rPr>
        <w:t xml:space="preserve">96 </w:t>
      </w:r>
      <w:r>
        <w:rPr>
          <w:color w:val="32373F"/>
        </w:rPr>
        <w:t>mA</w:t>
      </w:r>
      <w:r>
        <w:rPr>
          <w:color w:val="32373F"/>
          <w:spacing w:val="5"/>
        </w:rPr>
        <w:t>。</w:t>
      </w:r>
      <w:r>
        <w:rPr>
          <w:color w:val="32373F"/>
          <w:spacing w:val="-42"/>
        </w:rPr>
        <w:t xml:space="preserve"> </w:t>
      </w:r>
      <w:r>
        <w:rPr>
          <w:color w:val="32373F"/>
        </w:rPr>
        <w:t>FEE</w:t>
      </w:r>
      <w:r>
        <w:rPr>
          <w:color w:val="32373F"/>
          <w:spacing w:val="5"/>
        </w:rPr>
        <w:t xml:space="preserve">5/6 与 </w:t>
      </w:r>
      <w:r>
        <w:rPr>
          <w:color w:val="32373F"/>
        </w:rPr>
        <w:t>FEE</w:t>
      </w:r>
      <w:r>
        <w:rPr>
          <w:color w:val="32373F"/>
          <w:spacing w:val="5"/>
        </w:rPr>
        <w:t xml:space="preserve">7/8 之间的电流量级差异源于两者采用不同的分流电阻（0.125 Ω </w:t>
      </w:r>
      <w:r>
        <w:rPr>
          <w:color w:val="32373F"/>
          <w:spacing w:val="4"/>
        </w:rPr>
        <w:t>与 0.25 Ω),</w:t>
      </w:r>
      <w:r>
        <w:rPr>
          <w:color w:val="32373F"/>
        </w:rPr>
        <w:t xml:space="preserve"> </w:t>
      </w:r>
      <w:r>
        <w:rPr>
          <w:color w:val="32373F"/>
          <w:spacing w:val="5"/>
        </w:rPr>
        <w:t>经公式换算后所得电流值反映各自实际功耗，均处于正常工作范围内</w:t>
      </w:r>
      <w:r>
        <w:rPr>
          <w:color w:val="32373F"/>
          <w:spacing w:val="4"/>
        </w:rPr>
        <w:t>。各板卡 C1 曲线同样呈现一定的随</w:t>
      </w:r>
      <w:r>
        <w:rPr>
          <w:color w:val="32373F"/>
          <w:spacing w:val="2"/>
        </w:rPr>
        <w:t>机散布，但无系统性漂移或突变，整体稳定。</w:t>
      </w:r>
    </w:p>
    <w:p w14:paraId="18080910">
      <w:pPr>
        <w:pStyle w:val="2"/>
        <w:spacing w:before="271" w:line="229" w:lineRule="auto"/>
        <w:ind w:left="10"/>
      </w:pPr>
      <w:r>
        <w:rPr>
          <w:rFonts w:ascii="Arial" w:hAnsi="Arial" w:eastAsia="Arial" w:cs="Arial"/>
          <w:b/>
          <w:bCs/>
          <w:color w:val="32373F"/>
          <w:spacing w:val="1"/>
        </w:rPr>
        <w:t>C2</w:t>
      </w:r>
      <w:r>
        <w:rPr>
          <w:b/>
          <w:bCs/>
          <w:color w:val="32373F"/>
          <w:spacing w:val="1"/>
        </w:rPr>
        <w:t xml:space="preserve">（字节 </w:t>
      </w:r>
      <w:r>
        <w:rPr>
          <w:rFonts w:ascii="Arial" w:hAnsi="Arial" w:eastAsia="Arial" w:cs="Arial"/>
          <w:b/>
          <w:bCs/>
          <w:color w:val="32373F"/>
          <w:spacing w:val="1"/>
        </w:rPr>
        <w:t>6–7</w:t>
      </w:r>
      <w:r>
        <w:rPr>
          <w:b/>
          <w:bCs/>
          <w:color w:val="32373F"/>
          <w:spacing w:val="1"/>
        </w:rPr>
        <w:t>）</w:t>
      </w:r>
    </w:p>
    <w:p w14:paraId="47E3A6B9">
      <w:pPr>
        <w:pStyle w:val="2"/>
        <w:spacing w:before="3"/>
        <w:ind w:left="3"/>
      </w:pPr>
      <w:r>
        <w:rPr>
          <w:color w:val="32373F"/>
          <w:spacing w:val="2"/>
        </w:rPr>
        <w:t>该字段不做处理，四块板卡的 C2 子图均显示曲线恒定为 0</w:t>
      </w:r>
      <w:r>
        <w:rPr>
          <w:color w:val="32373F"/>
          <w:spacing w:val="-23"/>
        </w:rPr>
        <w:t xml:space="preserve"> </w:t>
      </w:r>
      <w:r>
        <w:rPr>
          <w:color w:val="32373F"/>
          <w:spacing w:val="2"/>
        </w:rPr>
        <w:t>，无有效物理量可解析。</w:t>
      </w:r>
    </w:p>
    <w:p w14:paraId="2FF15E43">
      <w:pPr>
        <w:spacing w:line="275" w:lineRule="auto"/>
        <w:rPr>
          <w:rFonts w:ascii="Arial"/>
          <w:sz w:val="21"/>
        </w:rPr>
      </w:pPr>
    </w:p>
    <w:p w14:paraId="50CD4C88">
      <w:pPr>
        <w:spacing w:line="5940" w:lineRule="exact"/>
      </w:pPr>
      <w:r>
        <w:rPr>
          <w:position w:val="-118"/>
        </w:rPr>
        <w:drawing>
          <wp:inline distT="0" distB="0" distL="0" distR="0">
            <wp:extent cx="6572250" cy="377126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23"/>
                    <a:stretch>
                      <a:fillRect/>
                    </a:stretch>
                  </pic:blipFill>
                  <pic:spPr>
                    <a:xfrm>
                      <a:off x="0" y="0"/>
                      <a:ext cx="6572250" cy="3771899"/>
                    </a:xfrm>
                    <a:prstGeom prst="rect">
                      <a:avLst/>
                    </a:prstGeom>
                  </pic:spPr>
                </pic:pic>
              </a:graphicData>
            </a:graphic>
          </wp:inline>
        </w:drawing>
      </w:r>
    </w:p>
    <w:p w14:paraId="2FA2A627">
      <w:pPr>
        <w:spacing w:line="5940" w:lineRule="exact"/>
        <w:sectPr>
          <w:headerReference r:id="rId7" w:type="default"/>
          <w:pgSz w:w="11919" w:h="16858"/>
          <w:pgMar w:top="400" w:right="783" w:bottom="0" w:left="785" w:header="0" w:footer="0" w:gutter="0"/>
          <w:cols w:space="720" w:num="1"/>
        </w:sectPr>
      </w:pPr>
    </w:p>
    <w:p w14:paraId="46565B04">
      <w:pPr>
        <w:spacing w:before="160" w:line="5939" w:lineRule="exact"/>
      </w:pPr>
      <w:r>
        <w:rPr>
          <w:position w:val="-118"/>
        </w:rPr>
        <w:drawing>
          <wp:inline distT="0" distB="0" distL="0" distR="0">
            <wp:extent cx="6572250" cy="377126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24"/>
                    <a:stretch>
                      <a:fillRect/>
                    </a:stretch>
                  </pic:blipFill>
                  <pic:spPr>
                    <a:xfrm>
                      <a:off x="0" y="0"/>
                      <a:ext cx="6572250" cy="3771898"/>
                    </a:xfrm>
                    <a:prstGeom prst="rect">
                      <a:avLst/>
                    </a:prstGeom>
                  </pic:spPr>
                </pic:pic>
              </a:graphicData>
            </a:graphic>
          </wp:inline>
        </w:drawing>
      </w:r>
    </w:p>
    <w:p w14:paraId="76747342">
      <w:pPr>
        <w:pStyle w:val="2"/>
        <w:spacing w:before="231" w:line="125" w:lineRule="exact"/>
        <w:ind w:left="13"/>
      </w:pPr>
      <w:r>
        <w:rPr>
          <w:color w:val="32373F"/>
          <w:position w:val="4"/>
        </w:rPr>
        <w:t>、</w:t>
      </w:r>
    </w:p>
    <w:p w14:paraId="3E1167B6">
      <w:pPr>
        <w:pStyle w:val="2"/>
        <w:spacing w:before="323" w:line="239" w:lineRule="auto"/>
        <w:ind w:left="2" w:right="200" w:firstLine="1"/>
      </w:pPr>
      <w:r>
        <w:rPr>
          <w:color w:val="32373F"/>
          <w:spacing w:val="1"/>
        </w:rPr>
        <w:t>综合来看，</w:t>
      </w:r>
      <w:r>
        <w:rPr>
          <w:color w:val="32373F"/>
          <w:spacing w:val="-26"/>
        </w:rPr>
        <w:t xml:space="preserve"> </w:t>
      </w:r>
      <w:r>
        <w:rPr>
          <w:rFonts w:ascii="Arial" w:hAnsi="Arial" w:eastAsia="Arial" w:cs="Arial"/>
          <w:color w:val="32373F"/>
        </w:rPr>
        <w:t>FEE</w:t>
      </w:r>
      <w:r>
        <w:rPr>
          <w:rFonts w:ascii="Arial" w:hAnsi="Arial" w:eastAsia="Arial" w:cs="Arial"/>
          <w:color w:val="32373F"/>
          <w:spacing w:val="1"/>
        </w:rPr>
        <w:t>5–8</w:t>
      </w:r>
      <w:r>
        <w:rPr>
          <w:rFonts w:ascii="Arial" w:hAnsi="Arial" w:eastAsia="Arial" w:cs="Arial"/>
          <w:color w:val="32373F"/>
          <w:spacing w:val="23"/>
        </w:rPr>
        <w:t xml:space="preserve"> </w:t>
      </w:r>
      <w:r>
        <w:rPr>
          <w:color w:val="32373F"/>
          <w:spacing w:val="1"/>
        </w:rPr>
        <w:t>四块板卡在高温升温阶段的电源电流遥</w:t>
      </w:r>
      <w:r>
        <w:rPr>
          <w:color w:val="32373F"/>
        </w:rPr>
        <w:t>测结果整体稳定，</w:t>
      </w:r>
      <w:r>
        <w:rPr>
          <w:color w:val="32373F"/>
          <w:spacing w:val="64"/>
        </w:rPr>
        <w:t xml:space="preserve"> </w:t>
      </w:r>
      <w:r>
        <w:rPr>
          <w:rFonts w:ascii="Arial" w:hAnsi="Arial" w:eastAsia="Arial" w:cs="Arial"/>
          <w:color w:val="32373F"/>
        </w:rPr>
        <w:t xml:space="preserve">1.8 V </w:t>
      </w:r>
      <w:r>
        <w:rPr>
          <w:color w:val="32373F"/>
        </w:rPr>
        <w:t xml:space="preserve">与 </w:t>
      </w:r>
      <w:r>
        <w:rPr>
          <w:rFonts w:ascii="Arial" w:hAnsi="Arial" w:eastAsia="Arial" w:cs="Arial"/>
          <w:color w:val="32373F"/>
        </w:rPr>
        <w:t xml:space="preserve">±5 V </w:t>
      </w:r>
      <w:r>
        <w:rPr>
          <w:color w:val="32373F"/>
        </w:rPr>
        <w:t>各路电流均</w:t>
      </w:r>
      <w:r>
        <w:rPr>
          <w:color w:val="32373F"/>
          <w:spacing w:val="4"/>
        </w:rPr>
        <w:t>未出现异常突变或明显温度相关性漂移，系统功耗处于正常水平</w:t>
      </w:r>
      <w:r>
        <w:rPr>
          <w:color w:val="32373F"/>
          <w:spacing w:val="3"/>
        </w:rPr>
        <w:t>，电子学工作状态良好。</w:t>
      </w:r>
    </w:p>
    <w:p w14:paraId="2C51CC1A">
      <w:pPr>
        <w:pStyle w:val="2"/>
        <w:spacing w:before="323" w:line="187" w:lineRule="auto"/>
        <w:ind w:left="14"/>
        <w:rPr>
          <w:sz w:val="24"/>
          <w:szCs w:val="24"/>
        </w:rPr>
      </w:pPr>
      <w:r>
        <w:rPr>
          <w:b/>
          <w:bCs/>
          <w:color w:val="32373F"/>
          <w:spacing w:val="5"/>
          <w:sz w:val="24"/>
          <w:szCs w:val="24"/>
        </w:rPr>
        <w:t>电流温度监测</w:t>
      </w:r>
    </w:p>
    <w:p w14:paraId="21C8E91A">
      <w:pPr>
        <w:pStyle w:val="2"/>
        <w:spacing w:before="166" w:line="239" w:lineRule="auto"/>
        <w:ind w:left="13" w:right="75" w:hanging="6"/>
        <w:jc w:val="both"/>
      </w:pPr>
      <w:r>
        <w:rPr>
          <w:color w:val="32373F"/>
          <w:spacing w:val="2"/>
        </w:rPr>
        <w:t xml:space="preserve">为进一步评估 </w:t>
      </w:r>
      <w:r>
        <w:rPr>
          <w:rFonts w:ascii="Arial" w:hAnsi="Arial" w:eastAsia="Arial" w:cs="Arial"/>
          <w:color w:val="32373F"/>
        </w:rPr>
        <w:t>Calo</w:t>
      </w:r>
      <w:r>
        <w:rPr>
          <w:rFonts w:ascii="Arial" w:hAnsi="Arial" w:eastAsia="Arial" w:cs="Arial"/>
          <w:color w:val="32373F"/>
          <w:spacing w:val="2"/>
        </w:rPr>
        <w:t xml:space="preserve"> </w:t>
      </w:r>
      <w:r>
        <w:rPr>
          <w:color w:val="32373F"/>
          <w:spacing w:val="2"/>
        </w:rPr>
        <w:t xml:space="preserve">载荷在完整热循环过程中的工作稳定性，图中给出了 </w:t>
      </w:r>
      <w:r>
        <w:rPr>
          <w:rFonts w:ascii="Arial" w:hAnsi="Arial" w:eastAsia="Arial" w:cs="Arial"/>
          <w:color w:val="32373F"/>
        </w:rPr>
        <w:t>FEE</w:t>
      </w:r>
      <w:r>
        <w:rPr>
          <w:rFonts w:ascii="Arial" w:hAnsi="Arial" w:eastAsia="Arial" w:cs="Arial"/>
          <w:color w:val="32373F"/>
          <w:spacing w:val="2"/>
        </w:rPr>
        <w:t xml:space="preserve">5 </w:t>
      </w:r>
      <w:r>
        <w:rPr>
          <w:color w:val="32373F"/>
          <w:spacing w:val="2"/>
        </w:rPr>
        <w:t xml:space="preserve">在 </w:t>
      </w:r>
      <w:r>
        <w:rPr>
          <w:rFonts w:ascii="Arial" w:hAnsi="Arial" w:eastAsia="Arial" w:cs="Arial"/>
          <w:color w:val="32373F"/>
          <w:spacing w:val="2"/>
        </w:rPr>
        <w:t xml:space="preserve">3 </w:t>
      </w:r>
      <w:r>
        <w:rPr>
          <w:color w:val="32373F"/>
          <w:spacing w:val="2"/>
        </w:rPr>
        <w:t>月</w:t>
      </w:r>
      <w:r>
        <w:rPr>
          <w:color w:val="32373F"/>
          <w:spacing w:val="29"/>
        </w:rPr>
        <w:t xml:space="preserve"> </w:t>
      </w:r>
      <w:r>
        <w:rPr>
          <w:rFonts w:ascii="Arial" w:hAnsi="Arial" w:eastAsia="Arial" w:cs="Arial"/>
          <w:color w:val="32373F"/>
          <w:spacing w:val="2"/>
        </w:rPr>
        <w:t>17</w:t>
      </w:r>
      <w:r>
        <w:rPr>
          <w:rFonts w:ascii="Arial" w:hAnsi="Arial" w:eastAsia="Arial" w:cs="Arial"/>
          <w:color w:val="32373F"/>
          <w:spacing w:val="35"/>
          <w:w w:val="101"/>
        </w:rPr>
        <w:t xml:space="preserve"> </w:t>
      </w:r>
      <w:r>
        <w:rPr>
          <w:color w:val="32373F"/>
          <w:spacing w:val="2"/>
        </w:rPr>
        <w:t xml:space="preserve">日至 </w:t>
      </w:r>
      <w:r>
        <w:rPr>
          <w:rFonts w:ascii="Arial" w:hAnsi="Arial" w:eastAsia="Arial" w:cs="Arial"/>
          <w:color w:val="32373F"/>
          <w:spacing w:val="2"/>
        </w:rPr>
        <w:t>23</w:t>
      </w:r>
      <w:r>
        <w:rPr>
          <w:rFonts w:ascii="Arial" w:hAnsi="Arial" w:eastAsia="Arial" w:cs="Arial"/>
          <w:color w:val="32373F"/>
          <w:spacing w:val="36"/>
        </w:rPr>
        <w:t xml:space="preserve"> </w:t>
      </w:r>
      <w:r>
        <w:rPr>
          <w:color w:val="32373F"/>
          <w:spacing w:val="2"/>
        </w:rPr>
        <w:t>日期</w:t>
      </w:r>
      <w:r>
        <w:rPr>
          <w:color w:val="32373F"/>
          <w:spacing w:val="10"/>
        </w:rPr>
        <w:t>间的全周期温度（</w:t>
      </w:r>
      <w:r>
        <w:rPr>
          <w:rFonts w:ascii="Arial" w:hAnsi="Arial" w:eastAsia="Arial" w:cs="Arial"/>
          <w:color w:val="32373F"/>
          <w:spacing w:val="10"/>
        </w:rPr>
        <w:t>T0</w:t>
      </w:r>
      <w:r>
        <w:rPr>
          <w:color w:val="32373F"/>
          <w:spacing w:val="10"/>
        </w:rPr>
        <w:t>）及电源电流（</w:t>
      </w:r>
      <w:r>
        <w:rPr>
          <w:rFonts w:ascii="Arial" w:hAnsi="Arial" w:eastAsia="Arial" w:cs="Arial"/>
          <w:color w:val="32373F"/>
          <w:spacing w:val="10"/>
        </w:rPr>
        <w:t>C0</w:t>
      </w:r>
      <w:r>
        <w:rPr>
          <w:color w:val="32373F"/>
          <w:spacing w:val="10"/>
        </w:rPr>
        <w:t>、</w:t>
      </w:r>
      <w:r>
        <w:rPr>
          <w:rFonts w:ascii="Arial" w:hAnsi="Arial" w:eastAsia="Arial" w:cs="Arial"/>
          <w:color w:val="32373F"/>
          <w:spacing w:val="10"/>
        </w:rPr>
        <w:t>C1</w:t>
      </w:r>
      <w:r>
        <w:rPr>
          <w:color w:val="32373F"/>
          <w:spacing w:val="10"/>
        </w:rPr>
        <w:t>）时序曲线，横轴为实际时间戳，纵轴分别为温度(℃)和</w:t>
      </w:r>
      <w:r>
        <w:rPr>
          <w:color w:val="32373F"/>
          <w:spacing w:val="-2"/>
        </w:rPr>
        <w:t>电流（</w:t>
      </w:r>
      <w:r>
        <w:rPr>
          <w:rFonts w:ascii="Arial" w:hAnsi="Arial" w:eastAsia="Arial" w:cs="Arial"/>
          <w:color w:val="32373F"/>
          <w:spacing w:val="-2"/>
        </w:rPr>
        <w:t>mA</w:t>
      </w:r>
      <w:r>
        <w:rPr>
          <w:color w:val="32373F"/>
          <w:spacing w:val="-2"/>
        </w:rPr>
        <w:t>）。</w:t>
      </w:r>
    </w:p>
    <w:p w14:paraId="37601022">
      <w:pPr>
        <w:spacing w:before="230" w:line="4365" w:lineRule="exact"/>
      </w:pPr>
      <w:r>
        <w:rPr>
          <w:position w:val="-87"/>
        </w:rPr>
        <w:drawing>
          <wp:inline distT="0" distB="0" distL="0" distR="0">
            <wp:extent cx="6572250" cy="277177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25"/>
                    <a:stretch>
                      <a:fillRect/>
                    </a:stretch>
                  </pic:blipFill>
                  <pic:spPr>
                    <a:xfrm>
                      <a:off x="0" y="0"/>
                      <a:ext cx="6572250" cy="2771775"/>
                    </a:xfrm>
                    <a:prstGeom prst="rect">
                      <a:avLst/>
                    </a:prstGeom>
                  </pic:spPr>
                </pic:pic>
              </a:graphicData>
            </a:graphic>
          </wp:inline>
        </w:drawing>
      </w:r>
    </w:p>
    <w:p w14:paraId="4CCB68DB">
      <w:pPr>
        <w:pStyle w:val="2"/>
        <w:spacing w:before="332" w:line="229" w:lineRule="auto"/>
        <w:ind w:left="3"/>
      </w:pPr>
      <w:r>
        <w:rPr>
          <w:b/>
          <w:bCs/>
          <w:color w:val="32373F"/>
          <w:spacing w:val="3"/>
        </w:rPr>
        <w:t>温度曲线（</w:t>
      </w:r>
      <w:r>
        <w:rPr>
          <w:rFonts w:ascii="Arial" w:hAnsi="Arial" w:eastAsia="Arial" w:cs="Arial"/>
          <w:b/>
          <w:bCs/>
          <w:color w:val="32373F"/>
          <w:spacing w:val="3"/>
        </w:rPr>
        <w:t>T0</w:t>
      </w:r>
      <w:r>
        <w:rPr>
          <w:b/>
          <w:bCs/>
          <w:color w:val="32373F"/>
          <w:spacing w:val="3"/>
        </w:rPr>
        <w:t>）</w:t>
      </w:r>
    </w:p>
    <w:p w14:paraId="20BEFF9A">
      <w:pPr>
        <w:pStyle w:val="2"/>
        <w:spacing w:before="4" w:line="233" w:lineRule="auto"/>
        <w:ind w:left="1" w:right="111" w:firstLine="6"/>
        <w:jc w:val="both"/>
      </w:pPr>
      <w:r>
        <w:rPr>
          <w:color w:val="32373F"/>
          <w:spacing w:val="12"/>
        </w:rPr>
        <w:t xml:space="preserve">呈现出清晰、规律的周期性升降温剖面，高温台阶约为 </w:t>
      </w:r>
      <w:r>
        <w:rPr>
          <w:rFonts w:ascii="Arial" w:hAnsi="Arial" w:eastAsia="Arial" w:cs="Arial"/>
          <w:color w:val="32373F"/>
          <w:spacing w:val="12"/>
        </w:rPr>
        <w:t xml:space="preserve">+38 </w:t>
      </w:r>
      <w:r>
        <w:rPr>
          <w:color w:val="32373F"/>
          <w:spacing w:val="12"/>
        </w:rPr>
        <w:t>℃,低温台阶约为</w:t>
      </w:r>
      <w:r>
        <w:rPr>
          <w:rFonts w:ascii="Arial" w:hAnsi="Arial" w:eastAsia="Arial" w:cs="Arial"/>
          <w:color w:val="32373F"/>
          <w:spacing w:val="12"/>
        </w:rPr>
        <w:t xml:space="preserve">−15 </w:t>
      </w:r>
      <w:r>
        <w:rPr>
          <w:color w:val="32373F"/>
          <w:spacing w:val="12"/>
        </w:rPr>
        <w:t>℃,与实验设定的温</w:t>
      </w:r>
      <w:r>
        <w:rPr>
          <w:color w:val="32373F"/>
          <w:spacing w:val="10"/>
        </w:rPr>
        <w:t>度范围(</w:t>
      </w:r>
      <w:r>
        <w:rPr>
          <w:rFonts w:ascii="Arial" w:hAnsi="Arial" w:eastAsia="Arial" w:cs="Arial"/>
          <w:color w:val="32373F"/>
          <w:spacing w:val="10"/>
        </w:rPr>
        <w:t xml:space="preserve">−15 </w:t>
      </w:r>
      <w:r>
        <w:rPr>
          <w:color w:val="32373F"/>
          <w:spacing w:val="10"/>
        </w:rPr>
        <w:t xml:space="preserve">℃ 至 </w:t>
      </w:r>
      <w:r>
        <w:rPr>
          <w:rFonts w:ascii="Arial" w:hAnsi="Arial" w:eastAsia="Arial" w:cs="Arial"/>
          <w:color w:val="32373F"/>
          <w:spacing w:val="10"/>
        </w:rPr>
        <w:t xml:space="preserve">+35 </w:t>
      </w:r>
      <w:r>
        <w:rPr>
          <w:color w:val="32373F"/>
          <w:spacing w:val="10"/>
        </w:rPr>
        <w:t>℃)基本吻合，高温端略高于标称值，属正常波动范围。整个监测周期内共完成</w:t>
      </w:r>
      <w:r>
        <w:rPr>
          <w:color w:val="32373F"/>
          <w:spacing w:val="5"/>
        </w:rPr>
        <w:t>约</w:t>
      </w:r>
      <w:r>
        <w:rPr>
          <w:color w:val="32373F"/>
          <w:spacing w:val="22"/>
        </w:rPr>
        <w:t xml:space="preserve"> </w:t>
      </w:r>
      <w:r>
        <w:rPr>
          <w:rFonts w:ascii="Arial" w:hAnsi="Arial" w:eastAsia="Arial" w:cs="Arial"/>
          <w:color w:val="32373F"/>
          <w:spacing w:val="5"/>
        </w:rPr>
        <w:t xml:space="preserve">12 </w:t>
      </w:r>
      <w:r>
        <w:rPr>
          <w:color w:val="32373F"/>
          <w:spacing w:val="5"/>
        </w:rPr>
        <w:t>个完整循环，循环形态一致，未出现温度剖面</w:t>
      </w:r>
      <w:r>
        <w:rPr>
          <w:color w:val="32373F"/>
          <w:spacing w:val="4"/>
        </w:rPr>
        <w:t xml:space="preserve">异常中断或温度响应滞后加剧等现象。在 </w:t>
      </w:r>
      <w:r>
        <w:rPr>
          <w:rFonts w:ascii="Arial" w:hAnsi="Arial" w:eastAsia="Arial" w:cs="Arial"/>
          <w:color w:val="32373F"/>
          <w:spacing w:val="4"/>
        </w:rPr>
        <w:t xml:space="preserve">3 </w:t>
      </w:r>
      <w:r>
        <w:rPr>
          <w:color w:val="32373F"/>
          <w:spacing w:val="4"/>
        </w:rPr>
        <w:t>月</w:t>
      </w:r>
      <w:r>
        <w:rPr>
          <w:rFonts w:ascii="Arial" w:hAnsi="Arial" w:eastAsia="Arial" w:cs="Arial"/>
          <w:color w:val="32373F"/>
          <w:spacing w:val="4"/>
        </w:rPr>
        <w:t>20</w:t>
      </w:r>
      <w:r>
        <w:rPr>
          <w:rFonts w:ascii="Arial" w:hAnsi="Arial" w:eastAsia="Arial" w:cs="Arial"/>
          <w:color w:val="32373F"/>
          <w:spacing w:val="36"/>
        </w:rPr>
        <w:t xml:space="preserve"> </w:t>
      </w:r>
      <w:r>
        <w:rPr>
          <w:color w:val="32373F"/>
          <w:spacing w:val="4"/>
        </w:rPr>
        <w:t>日</w:t>
      </w:r>
    </w:p>
    <w:p w14:paraId="61FA360B">
      <w:pPr>
        <w:spacing w:line="233" w:lineRule="auto"/>
        <w:sectPr>
          <w:pgSz w:w="11919" w:h="16858"/>
          <w:pgMar w:top="400" w:right="783" w:bottom="0" w:left="785" w:header="0" w:footer="0" w:gutter="0"/>
          <w:cols w:space="720" w:num="1"/>
        </w:sectPr>
      </w:pPr>
    </w:p>
    <w:p w14:paraId="07F14AB1">
      <w:pPr>
        <w:pStyle w:val="2"/>
        <w:spacing w:before="182" w:line="241" w:lineRule="auto"/>
        <w:ind w:left="2" w:right="205" w:firstLine="11"/>
        <w:jc w:val="both"/>
      </w:pPr>
      <w:r>
        <w:rPr>
          <w:color w:val="32373F"/>
          <w:spacing w:val="3"/>
        </w:rPr>
        <w:t>附近的某次低温台阶中，</w:t>
      </w:r>
      <w:r>
        <w:rPr>
          <w:color w:val="32373F"/>
          <w:spacing w:val="-12"/>
        </w:rPr>
        <w:t xml:space="preserve"> </w:t>
      </w:r>
      <w:r>
        <w:rPr>
          <w:color w:val="32373F"/>
          <w:spacing w:val="3"/>
        </w:rPr>
        <w:t>T0</w:t>
      </w:r>
      <w:r>
        <w:rPr>
          <w:color w:val="32373F"/>
          <w:spacing w:val="18"/>
          <w:w w:val="101"/>
        </w:rPr>
        <w:t xml:space="preserve"> </w:t>
      </w:r>
      <w:r>
        <w:rPr>
          <w:color w:val="32373F"/>
          <w:spacing w:val="3"/>
        </w:rPr>
        <w:t>出现短暂下探至约 一3 ℃ 的异常，偏离正常低温平台约</w:t>
      </w:r>
      <w:r>
        <w:rPr>
          <w:color w:val="32373F"/>
          <w:spacing w:val="21"/>
          <w:w w:val="101"/>
        </w:rPr>
        <w:t xml:space="preserve"> </w:t>
      </w:r>
      <w:r>
        <w:rPr>
          <w:color w:val="32373F"/>
          <w:spacing w:val="3"/>
        </w:rPr>
        <w:t>12 ℃,可能为该次</w:t>
      </w:r>
      <w:r>
        <w:rPr>
          <w:color w:val="32373F"/>
          <w:spacing w:val="5"/>
        </w:rPr>
        <w:t>循环低温保持阶段的数据采集短暂中断后恢复，或冷热启动断电重启所致，需结合状态量日志</w:t>
      </w:r>
      <w:r>
        <w:rPr>
          <w:color w:val="32373F"/>
          <w:spacing w:val="4"/>
        </w:rPr>
        <w:t>进一步核</w:t>
      </w:r>
      <w:r>
        <w:rPr>
          <w:color w:val="32373F"/>
          <w:spacing w:val="-10"/>
        </w:rPr>
        <w:t>查。</w:t>
      </w:r>
    </w:p>
    <w:p w14:paraId="6BC13B96">
      <w:pPr>
        <w:spacing w:before="220" w:line="4365" w:lineRule="exact"/>
      </w:pPr>
      <w:r>
        <w:rPr>
          <w:position w:val="-87"/>
        </w:rPr>
        <w:drawing>
          <wp:inline distT="0" distB="0" distL="0" distR="0">
            <wp:extent cx="6572250" cy="277177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26"/>
                    <a:stretch>
                      <a:fillRect/>
                    </a:stretch>
                  </pic:blipFill>
                  <pic:spPr>
                    <a:xfrm>
                      <a:off x="0" y="0"/>
                      <a:ext cx="6572250" cy="2771775"/>
                    </a:xfrm>
                    <a:prstGeom prst="rect">
                      <a:avLst/>
                    </a:prstGeom>
                  </pic:spPr>
                </pic:pic>
              </a:graphicData>
            </a:graphic>
          </wp:inline>
        </w:drawing>
      </w:r>
    </w:p>
    <w:p w14:paraId="1F287959">
      <w:pPr>
        <w:spacing w:line="268" w:lineRule="auto"/>
        <w:rPr>
          <w:rFonts w:ascii="Arial"/>
          <w:sz w:val="21"/>
        </w:rPr>
      </w:pPr>
    </w:p>
    <w:p w14:paraId="167405D0">
      <w:pPr>
        <w:pStyle w:val="2"/>
        <w:spacing w:before="94" w:line="186" w:lineRule="auto"/>
        <w:ind w:left="10"/>
        <w:outlineLvl w:val="2"/>
      </w:pPr>
      <w:r>
        <w:rPr>
          <w:rFonts w:ascii="Arial" w:hAnsi="Arial" w:eastAsia="Arial" w:cs="Arial"/>
          <w:b/>
          <w:bCs/>
          <w:color w:val="32373F"/>
          <w:spacing w:val="-2"/>
        </w:rPr>
        <w:t>C0</w:t>
      </w:r>
      <w:r>
        <w:rPr>
          <w:rFonts w:ascii="Arial" w:hAnsi="Arial" w:eastAsia="Arial" w:cs="Arial"/>
          <w:b/>
          <w:bCs/>
          <w:color w:val="32373F"/>
          <w:spacing w:val="27"/>
        </w:rPr>
        <w:t xml:space="preserve"> </w:t>
      </w:r>
      <w:r>
        <w:rPr>
          <w:b/>
          <w:bCs/>
          <w:color w:val="32373F"/>
          <w:spacing w:val="-2"/>
        </w:rPr>
        <w:t>曲线（</w:t>
      </w:r>
      <w:r>
        <w:rPr>
          <w:rFonts w:ascii="Arial" w:hAnsi="Arial" w:eastAsia="Arial" w:cs="Arial"/>
          <w:b/>
          <w:bCs/>
          <w:color w:val="32373F"/>
          <w:spacing w:val="-2"/>
        </w:rPr>
        <w:t>1.8 V</w:t>
      </w:r>
      <w:r>
        <w:rPr>
          <w:rFonts w:ascii="Arial" w:hAnsi="Arial" w:eastAsia="Arial" w:cs="Arial"/>
          <w:b/>
          <w:bCs/>
          <w:color w:val="32373F"/>
          <w:spacing w:val="15"/>
          <w:w w:val="101"/>
        </w:rPr>
        <w:t xml:space="preserve"> </w:t>
      </w:r>
      <w:r>
        <w:rPr>
          <w:b/>
          <w:bCs/>
          <w:color w:val="32373F"/>
          <w:spacing w:val="-2"/>
        </w:rPr>
        <w:t>电流）</w:t>
      </w:r>
    </w:p>
    <w:p w14:paraId="4296D7D9">
      <w:pPr>
        <w:pStyle w:val="2"/>
        <w:spacing w:before="23" w:line="229" w:lineRule="auto"/>
        <w:ind w:right="6" w:firstLine="2"/>
      </w:pPr>
      <w:r>
        <w:rPr>
          <w:color w:val="32373F"/>
          <w:spacing w:val="2"/>
        </w:rPr>
        <w:t>在整个热循环期间呈现与温度剖面高度同步的周期性波动：高温台阶对应电流约为</w:t>
      </w:r>
      <w:r>
        <w:rPr>
          <w:color w:val="32373F"/>
          <w:spacing w:val="22"/>
        </w:rPr>
        <w:t xml:space="preserve"> </w:t>
      </w:r>
      <w:r>
        <w:rPr>
          <w:color w:val="32373F"/>
          <w:spacing w:val="2"/>
        </w:rPr>
        <w:t xml:space="preserve">1190–1200 </w:t>
      </w:r>
      <w:r>
        <w:rPr>
          <w:color w:val="32373F"/>
        </w:rPr>
        <w:t>mA</w:t>
      </w:r>
      <w:r>
        <w:rPr>
          <w:color w:val="32373F"/>
          <w:spacing w:val="2"/>
        </w:rPr>
        <w:t>，</w:t>
      </w:r>
      <w:r>
        <w:rPr>
          <w:color w:val="32373F"/>
          <w:spacing w:val="1"/>
        </w:rPr>
        <w:t>低温</w:t>
      </w:r>
      <w:r>
        <w:rPr>
          <w:color w:val="32373F"/>
        </w:rPr>
        <w:t>台阶对应电流约为</w:t>
      </w:r>
      <w:r>
        <w:rPr>
          <w:color w:val="32373F"/>
          <w:spacing w:val="21"/>
          <w:w w:val="101"/>
        </w:rPr>
        <w:t xml:space="preserve"> </w:t>
      </w:r>
      <w:r>
        <w:rPr>
          <w:color w:val="32373F"/>
        </w:rPr>
        <w:t>1135–1150 mA，高低温之间的电流差值约为</w:t>
      </w:r>
      <w:r>
        <w:rPr>
          <w:color w:val="32373F"/>
          <w:spacing w:val="17"/>
          <w:w w:val="101"/>
        </w:rPr>
        <w:t xml:space="preserve"> </w:t>
      </w:r>
      <w:r>
        <w:rPr>
          <w:color w:val="32373F"/>
        </w:rPr>
        <w:t xml:space="preserve">40–60 mA。这一规律性变化符合预期 </w:t>
      </w:r>
      <w:r>
        <w:rPr>
          <w:color w:val="32373F"/>
          <w:spacing w:val="3"/>
        </w:rPr>
        <w:t>——低温下器件功耗略有降低，温度升高后功耗随之回升——属于正常的温度相关性响应，而非异常突</w:t>
      </w:r>
    </w:p>
    <w:p w14:paraId="6B41BC10">
      <w:pPr>
        <w:pStyle w:val="2"/>
        <w:spacing w:before="1" w:line="239" w:lineRule="auto"/>
        <w:ind w:left="3"/>
      </w:pPr>
      <w:r>
        <w:rPr>
          <w:color w:val="32373F"/>
          <w:spacing w:val="3"/>
        </w:rPr>
        <w:t>变。全程未出现电流阶跃式突变或单次异常尖峰，表明</w:t>
      </w:r>
      <w:r>
        <w:rPr>
          <w:color w:val="32373F"/>
          <w:spacing w:val="22"/>
        </w:rPr>
        <w:t xml:space="preserve"> </w:t>
      </w:r>
      <w:r>
        <w:rPr>
          <w:color w:val="32373F"/>
          <w:spacing w:val="3"/>
        </w:rPr>
        <w:t>1.8 V 供</w:t>
      </w:r>
      <w:r>
        <w:rPr>
          <w:color w:val="32373F"/>
          <w:spacing w:val="2"/>
        </w:rPr>
        <w:t>电链路在热循环各阶段工作稳定。</w:t>
      </w:r>
    </w:p>
    <w:p w14:paraId="2969592F">
      <w:pPr>
        <w:spacing w:line="275" w:lineRule="auto"/>
        <w:rPr>
          <w:rFonts w:ascii="Arial"/>
          <w:sz w:val="21"/>
        </w:rPr>
      </w:pPr>
    </w:p>
    <w:p w14:paraId="6A048DF0">
      <w:pPr>
        <w:spacing w:line="4365" w:lineRule="exact"/>
      </w:pPr>
      <w:r>
        <w:rPr>
          <w:position w:val="-87"/>
        </w:rPr>
        <w:drawing>
          <wp:inline distT="0" distB="0" distL="0" distR="0">
            <wp:extent cx="6572250" cy="277177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27"/>
                    <a:stretch>
                      <a:fillRect/>
                    </a:stretch>
                  </pic:blipFill>
                  <pic:spPr>
                    <a:xfrm>
                      <a:off x="0" y="0"/>
                      <a:ext cx="6572250" cy="2771775"/>
                    </a:xfrm>
                    <a:prstGeom prst="rect">
                      <a:avLst/>
                    </a:prstGeom>
                  </pic:spPr>
                </pic:pic>
              </a:graphicData>
            </a:graphic>
          </wp:inline>
        </w:drawing>
      </w:r>
    </w:p>
    <w:p w14:paraId="5C199861">
      <w:pPr>
        <w:spacing w:line="266" w:lineRule="auto"/>
        <w:rPr>
          <w:rFonts w:ascii="Arial"/>
          <w:sz w:val="21"/>
        </w:rPr>
      </w:pPr>
    </w:p>
    <w:p w14:paraId="414F15DA">
      <w:pPr>
        <w:pStyle w:val="2"/>
        <w:spacing w:before="95" w:line="187" w:lineRule="auto"/>
        <w:ind w:left="10"/>
      </w:pPr>
      <w:r>
        <w:rPr>
          <w:rFonts w:ascii="Arial" w:hAnsi="Arial" w:eastAsia="Arial" w:cs="Arial"/>
          <w:b/>
          <w:bCs/>
          <w:color w:val="32373F"/>
          <w:spacing w:val="-1"/>
        </w:rPr>
        <w:t>C1</w:t>
      </w:r>
      <w:r>
        <w:rPr>
          <w:rFonts w:ascii="Arial" w:hAnsi="Arial" w:eastAsia="Arial" w:cs="Arial"/>
          <w:b/>
          <w:bCs/>
          <w:color w:val="32373F"/>
          <w:spacing w:val="21"/>
          <w:w w:val="101"/>
        </w:rPr>
        <w:t xml:space="preserve"> </w:t>
      </w:r>
      <w:r>
        <w:rPr>
          <w:b/>
          <w:bCs/>
          <w:color w:val="32373F"/>
          <w:spacing w:val="-1"/>
        </w:rPr>
        <w:t xml:space="preserve">曲线（主份 </w:t>
      </w:r>
      <w:r>
        <w:rPr>
          <w:rFonts w:ascii="Arial" w:hAnsi="Arial" w:eastAsia="Arial" w:cs="Arial"/>
          <w:b/>
          <w:bCs/>
          <w:color w:val="32373F"/>
          <w:spacing w:val="-1"/>
        </w:rPr>
        <w:t>+5 V</w:t>
      </w:r>
      <w:r>
        <w:rPr>
          <w:rFonts w:ascii="Arial" w:hAnsi="Arial" w:eastAsia="Arial" w:cs="Arial"/>
          <w:b/>
          <w:bCs/>
          <w:color w:val="32373F"/>
          <w:spacing w:val="15"/>
          <w:w w:val="101"/>
        </w:rPr>
        <w:t xml:space="preserve"> </w:t>
      </w:r>
      <w:r>
        <w:rPr>
          <w:b/>
          <w:bCs/>
          <w:color w:val="32373F"/>
          <w:spacing w:val="-1"/>
        </w:rPr>
        <w:t>电流）</w:t>
      </w:r>
    </w:p>
    <w:p w14:paraId="101BBED0">
      <w:pPr>
        <w:pStyle w:val="2"/>
        <w:spacing w:before="26" w:line="231" w:lineRule="auto"/>
        <w:ind w:left="2" w:right="113"/>
        <w:jc w:val="both"/>
      </w:pPr>
      <w:r>
        <w:rPr>
          <w:color w:val="32373F"/>
          <w:spacing w:val="1"/>
        </w:rPr>
        <w:t xml:space="preserve">在整个监测周期内维持在约 424–430 </w:t>
      </w:r>
      <w:r>
        <w:rPr>
          <w:color w:val="32373F"/>
        </w:rPr>
        <w:t>mA</w:t>
      </w:r>
      <w:r>
        <w:rPr>
          <w:color w:val="32373F"/>
          <w:spacing w:val="1"/>
        </w:rPr>
        <w:t>，波动幅度约为</w:t>
      </w:r>
      <w:r>
        <w:rPr>
          <w:color w:val="32373F"/>
          <w:spacing w:val="24"/>
        </w:rPr>
        <w:t xml:space="preserve"> </w:t>
      </w:r>
      <w:r>
        <w:rPr>
          <w:color w:val="32373F"/>
          <w:spacing w:val="1"/>
        </w:rPr>
        <w:t>±3</w:t>
      </w:r>
      <w:r>
        <w:rPr>
          <w:color w:val="32373F"/>
        </w:rPr>
        <w:t xml:space="preserve"> mA，且与温度剖面的周期性变化无明显关</w:t>
      </w:r>
      <w:r>
        <w:rPr>
          <w:color w:val="32373F"/>
          <w:spacing w:val="2"/>
        </w:rPr>
        <w:t>联，说明 ±5 V 供电电流对温度变化的敏感度低于</w:t>
      </w:r>
      <w:r>
        <w:rPr>
          <w:color w:val="32373F"/>
          <w:spacing w:val="37"/>
        </w:rPr>
        <w:t xml:space="preserve"> </w:t>
      </w:r>
      <w:r>
        <w:rPr>
          <w:color w:val="32373F"/>
          <w:spacing w:val="2"/>
        </w:rPr>
        <w:t>1.8 V 链路，整体功耗稳定。全程未出现异常突变或系</w:t>
      </w:r>
      <w:r>
        <w:rPr>
          <w:color w:val="32373F"/>
          <w:spacing w:val="-4"/>
        </w:rPr>
        <w:t>统性漂移。</w:t>
      </w:r>
    </w:p>
    <w:p w14:paraId="31CFAEFC">
      <w:pPr>
        <w:pStyle w:val="2"/>
        <w:spacing w:before="327" w:line="236" w:lineRule="auto"/>
        <w:ind w:left="2" w:right="49" w:firstLine="1"/>
        <w:jc w:val="both"/>
      </w:pPr>
      <w:r>
        <w:rPr>
          <w:color w:val="32373F"/>
          <w:spacing w:val="5"/>
        </w:rPr>
        <w:t>综合来看，</w:t>
      </w:r>
      <w:r>
        <w:rPr>
          <w:color w:val="32373F"/>
          <w:spacing w:val="-8"/>
        </w:rPr>
        <w:t xml:space="preserve"> </w:t>
      </w:r>
      <w:r>
        <w:rPr>
          <w:color w:val="32373F"/>
        </w:rPr>
        <w:t>FEE</w:t>
      </w:r>
      <w:r>
        <w:rPr>
          <w:color w:val="32373F"/>
          <w:spacing w:val="5"/>
        </w:rPr>
        <w:t>5 在完整热循环周期内的温度与电流遥测结果均表现正常，电流随温度的周期性变化规律</w:t>
      </w:r>
      <w:r>
        <w:rPr>
          <w:color w:val="32373F"/>
          <w:spacing w:val="2"/>
        </w:rPr>
        <w:t xml:space="preserve">一致、幅度合理，未发现电流异常突变、数据采集中断或工作模式异常切换等问题。  T0 </w:t>
      </w:r>
      <w:r>
        <w:rPr>
          <w:color w:val="32373F"/>
          <w:spacing w:val="1"/>
        </w:rPr>
        <w:t>在个别低温台阶</w:t>
      </w:r>
      <w:r>
        <w:rPr>
          <w:color w:val="32373F"/>
          <w:spacing w:val="3"/>
        </w:rPr>
        <w:t>存在轻微异常，建议结合状态量日志进一步确认原因。</w:t>
      </w:r>
    </w:p>
    <w:p w14:paraId="684728FC">
      <w:pPr>
        <w:spacing w:line="236" w:lineRule="auto"/>
        <w:sectPr>
          <w:pgSz w:w="11919" w:h="16858"/>
          <w:pgMar w:top="400" w:right="783" w:bottom="0" w:left="785" w:header="0" w:footer="0" w:gutter="0"/>
          <w:cols w:space="720" w:num="1"/>
        </w:sectPr>
      </w:pPr>
    </w:p>
    <w:p w14:paraId="546D6D3B">
      <w:pPr>
        <w:pStyle w:val="2"/>
        <w:spacing w:before="244" w:line="185" w:lineRule="auto"/>
        <w:ind w:left="12"/>
        <w:outlineLvl w:val="1"/>
        <w:rPr>
          <w:sz w:val="29"/>
          <w:szCs w:val="29"/>
        </w:rPr>
      </w:pPr>
      <w:r>
        <w:rPr>
          <w:rFonts w:ascii="Arial" w:hAnsi="Arial" w:eastAsia="Arial" w:cs="Arial"/>
          <w:b/>
          <w:bCs/>
          <w:color w:val="32373F"/>
          <w:sz w:val="29"/>
          <w:szCs w:val="29"/>
        </w:rPr>
        <w:t xml:space="preserve">5. </w:t>
      </w:r>
      <w:r>
        <w:rPr>
          <w:b/>
          <w:bCs/>
          <w:color w:val="32373F"/>
          <w:sz w:val="29"/>
          <w:szCs w:val="29"/>
        </w:rPr>
        <w:t>科学数据分析</w:t>
      </w:r>
    </w:p>
    <w:p w14:paraId="131EA491">
      <w:pPr>
        <w:pStyle w:val="2"/>
        <w:spacing w:before="272" w:line="187" w:lineRule="auto"/>
        <w:ind w:left="10"/>
        <w:outlineLvl w:val="2"/>
        <w:rPr>
          <w:sz w:val="24"/>
          <w:szCs w:val="24"/>
        </w:rPr>
      </w:pPr>
      <w:r>
        <w:rPr>
          <w:rFonts w:ascii="Arial" w:hAnsi="Arial" w:eastAsia="Arial" w:cs="Arial"/>
          <w:b/>
          <w:bCs/>
          <w:color w:val="32373F"/>
          <w:spacing w:val="7"/>
          <w:sz w:val="24"/>
          <w:szCs w:val="24"/>
        </w:rPr>
        <w:t xml:space="preserve">5.1 </w:t>
      </w:r>
      <w:r>
        <w:rPr>
          <w:b/>
          <w:bCs/>
          <w:color w:val="32373F"/>
          <w:spacing w:val="7"/>
          <w:sz w:val="24"/>
          <w:szCs w:val="24"/>
        </w:rPr>
        <w:t>基线（</w:t>
      </w:r>
      <w:r>
        <w:rPr>
          <w:rFonts w:ascii="Arial" w:hAnsi="Arial" w:eastAsia="Arial" w:cs="Arial"/>
          <w:b/>
          <w:bCs/>
          <w:color w:val="32373F"/>
          <w:sz w:val="24"/>
          <w:szCs w:val="24"/>
        </w:rPr>
        <w:t>Baseline</w:t>
      </w:r>
      <w:r>
        <w:rPr>
          <w:b/>
          <w:bCs/>
          <w:color w:val="32373F"/>
          <w:spacing w:val="7"/>
          <w:sz w:val="24"/>
          <w:szCs w:val="24"/>
        </w:rPr>
        <w:t>）模式分析</w:t>
      </w:r>
    </w:p>
    <w:p w14:paraId="7D345A34">
      <w:pPr>
        <w:pStyle w:val="2"/>
        <w:spacing w:before="207" w:line="239" w:lineRule="auto"/>
        <w:ind w:left="3"/>
      </w:pPr>
      <w:r>
        <w:rPr>
          <w:color w:val="32373F"/>
          <w:spacing w:val="5"/>
        </w:rPr>
        <w:t>基线反映了电子学读出系统在无显著物理信号输入条件下的本底输出水平，是表征电子学工作</w:t>
      </w:r>
      <w:r>
        <w:rPr>
          <w:color w:val="32373F"/>
          <w:spacing w:val="4"/>
        </w:rPr>
        <w:t>稳定性与噪声状态的核心参数之一。</w:t>
      </w:r>
    </w:p>
    <w:p w14:paraId="6DE9E846">
      <w:pPr>
        <w:pStyle w:val="2"/>
        <w:spacing w:before="265" w:line="188" w:lineRule="auto"/>
        <w:ind w:left="6"/>
      </w:pPr>
      <w:r>
        <w:rPr>
          <w:color w:val="32373F"/>
          <w:spacing w:val="2"/>
        </w:rPr>
        <w:t>热循环过程中，温度变化可能对前端电子学工作点、</w:t>
      </w:r>
      <w:r>
        <w:rPr>
          <w:color w:val="32373F"/>
          <w:spacing w:val="44"/>
        </w:rPr>
        <w:t xml:space="preserve"> </w:t>
      </w:r>
      <w:r>
        <w:rPr>
          <w:rFonts w:ascii="Arial" w:hAnsi="Arial" w:eastAsia="Arial" w:cs="Arial"/>
          <w:color w:val="32373F"/>
        </w:rPr>
        <w:t>APD</w:t>
      </w:r>
      <w:r>
        <w:rPr>
          <w:rFonts w:ascii="Arial" w:hAnsi="Arial" w:eastAsia="Arial" w:cs="Arial"/>
          <w:color w:val="32373F"/>
          <w:spacing w:val="16"/>
          <w:w w:val="101"/>
        </w:rPr>
        <w:t xml:space="preserve"> </w:t>
      </w:r>
      <w:r>
        <w:rPr>
          <w:color w:val="32373F"/>
          <w:spacing w:val="2"/>
        </w:rPr>
        <w:t>暗电流、电路噪</w:t>
      </w:r>
      <w:r>
        <w:rPr>
          <w:color w:val="32373F"/>
          <w:spacing w:val="1"/>
        </w:rPr>
        <w:t xml:space="preserve">声水平及 </w:t>
      </w:r>
      <w:r>
        <w:rPr>
          <w:rFonts w:ascii="Arial" w:hAnsi="Arial" w:eastAsia="Arial" w:cs="Arial"/>
          <w:color w:val="32373F"/>
        </w:rPr>
        <w:t>ADC</w:t>
      </w:r>
      <w:r>
        <w:rPr>
          <w:rFonts w:ascii="Arial" w:hAnsi="Arial" w:eastAsia="Arial" w:cs="Arial"/>
          <w:color w:val="32373F"/>
          <w:spacing w:val="1"/>
        </w:rPr>
        <w:t xml:space="preserve"> </w:t>
      </w:r>
      <w:r>
        <w:rPr>
          <w:color w:val="32373F"/>
          <w:spacing w:val="1"/>
        </w:rPr>
        <w:t>台基</w:t>
      </w:r>
    </w:p>
    <w:p w14:paraId="283F87B0">
      <w:pPr>
        <w:pStyle w:val="2"/>
        <w:spacing w:before="25" w:line="239" w:lineRule="auto"/>
        <w:ind w:left="1" w:right="52" w:firstLine="34"/>
      </w:pPr>
      <w:r>
        <w:rPr>
          <w:color w:val="32373F"/>
          <w:spacing w:val="5"/>
        </w:rPr>
        <w:t>（</w:t>
      </w:r>
      <w:r>
        <w:rPr>
          <w:rFonts w:ascii="Arial" w:hAnsi="Arial" w:eastAsia="Arial" w:cs="Arial"/>
          <w:color w:val="32373F"/>
        </w:rPr>
        <w:t>pedestal</w:t>
      </w:r>
      <w:r>
        <w:rPr>
          <w:color w:val="32373F"/>
          <w:spacing w:val="5"/>
        </w:rPr>
        <w:t>）产生不同程度的影响，因此需对各读出通</w:t>
      </w:r>
      <w:r>
        <w:rPr>
          <w:color w:val="32373F"/>
          <w:spacing w:val="4"/>
        </w:rPr>
        <w:t>道的基线随时间和温度的演化进行持续监测与量化</w:t>
      </w:r>
      <w:r>
        <w:rPr>
          <w:color w:val="32373F"/>
          <w:spacing w:val="-8"/>
        </w:rPr>
        <w:t>分析。</w:t>
      </w:r>
    </w:p>
    <w:p w14:paraId="070E2008">
      <w:pPr>
        <w:pStyle w:val="2"/>
        <w:spacing w:before="283" w:line="231" w:lineRule="auto"/>
        <w:ind w:left="13" w:right="152" w:hanging="10"/>
        <w:jc w:val="both"/>
      </w:pPr>
      <w:r>
        <w:rPr>
          <w:color w:val="32373F"/>
          <w:spacing w:val="5"/>
        </w:rPr>
        <w:t>本实验针对四组读出链路分别开展基线统计分析，包括主份通道高增益（</w:t>
      </w:r>
      <w:r>
        <w:rPr>
          <w:rFonts w:ascii="Arial" w:hAnsi="Arial" w:eastAsia="Arial" w:cs="Arial"/>
          <w:color w:val="32373F"/>
        </w:rPr>
        <w:t>main</w:t>
      </w:r>
      <w:r>
        <w:rPr>
          <w:rFonts w:ascii="Arial" w:hAnsi="Arial" w:eastAsia="Arial" w:cs="Arial"/>
          <w:color w:val="32373F"/>
          <w:spacing w:val="5"/>
        </w:rPr>
        <w:t xml:space="preserve"> </w:t>
      </w:r>
      <w:r>
        <w:rPr>
          <w:rFonts w:ascii="Arial" w:hAnsi="Arial" w:eastAsia="Arial" w:cs="Arial"/>
          <w:color w:val="32373F"/>
        </w:rPr>
        <w:t>high</w:t>
      </w:r>
      <w:r>
        <w:rPr>
          <w:color w:val="32373F"/>
          <w:spacing w:val="5"/>
        </w:rPr>
        <w:t>）、主份通道低增益</w:t>
      </w:r>
      <w:r>
        <w:rPr>
          <w:color w:val="32373F"/>
          <w:spacing w:val="6"/>
        </w:rPr>
        <w:t>（</w:t>
      </w:r>
      <w:r>
        <w:rPr>
          <w:rFonts w:ascii="Arial" w:hAnsi="Arial" w:eastAsia="Arial" w:cs="Arial"/>
          <w:color w:val="32373F"/>
        </w:rPr>
        <w:t>main</w:t>
      </w:r>
      <w:r>
        <w:rPr>
          <w:rFonts w:ascii="Arial" w:hAnsi="Arial" w:eastAsia="Arial" w:cs="Arial"/>
          <w:color w:val="32373F"/>
          <w:spacing w:val="6"/>
        </w:rPr>
        <w:t xml:space="preserve"> </w:t>
      </w:r>
      <w:r>
        <w:rPr>
          <w:rFonts w:ascii="Arial" w:hAnsi="Arial" w:eastAsia="Arial" w:cs="Arial"/>
          <w:color w:val="32373F"/>
        </w:rPr>
        <w:t>low</w:t>
      </w:r>
      <w:r>
        <w:rPr>
          <w:color w:val="32373F"/>
          <w:spacing w:val="6"/>
        </w:rPr>
        <w:t>）、备份通道高增益（</w:t>
      </w:r>
      <w:r>
        <w:rPr>
          <w:rFonts w:ascii="Arial" w:hAnsi="Arial" w:eastAsia="Arial" w:cs="Arial"/>
          <w:color w:val="32373F"/>
        </w:rPr>
        <w:t>backup</w:t>
      </w:r>
      <w:r>
        <w:rPr>
          <w:rFonts w:ascii="Arial" w:hAnsi="Arial" w:eastAsia="Arial" w:cs="Arial"/>
          <w:color w:val="32373F"/>
          <w:spacing w:val="6"/>
        </w:rPr>
        <w:t xml:space="preserve"> </w:t>
      </w:r>
      <w:r>
        <w:rPr>
          <w:rFonts w:ascii="Arial" w:hAnsi="Arial" w:eastAsia="Arial" w:cs="Arial"/>
          <w:color w:val="32373F"/>
        </w:rPr>
        <w:t>high</w:t>
      </w:r>
      <w:r>
        <w:rPr>
          <w:color w:val="32373F"/>
          <w:spacing w:val="6"/>
        </w:rPr>
        <w:t>）及备份通道低增益（</w:t>
      </w:r>
      <w:r>
        <w:rPr>
          <w:rFonts w:ascii="Arial" w:hAnsi="Arial" w:eastAsia="Arial" w:cs="Arial"/>
          <w:color w:val="32373F"/>
        </w:rPr>
        <w:t>backup</w:t>
      </w:r>
      <w:r>
        <w:rPr>
          <w:rFonts w:ascii="Arial" w:hAnsi="Arial" w:eastAsia="Arial" w:cs="Arial"/>
          <w:color w:val="32373F"/>
          <w:spacing w:val="6"/>
        </w:rPr>
        <w:t xml:space="preserve"> </w:t>
      </w:r>
      <w:r>
        <w:rPr>
          <w:rFonts w:ascii="Arial" w:hAnsi="Arial" w:eastAsia="Arial" w:cs="Arial"/>
          <w:color w:val="32373F"/>
        </w:rPr>
        <w:t>low</w:t>
      </w:r>
      <w:r>
        <w:rPr>
          <w:color w:val="32373F"/>
          <w:spacing w:val="6"/>
        </w:rPr>
        <w:t>）。通过对比不同温度</w:t>
      </w:r>
      <w:r>
        <w:rPr>
          <w:color w:val="32373F"/>
          <w:spacing w:val="4"/>
        </w:rPr>
        <w:t>阶段的基线分布特征，判断各通道是否存在系统性漂移、突变</w:t>
      </w:r>
      <w:r>
        <w:rPr>
          <w:color w:val="32373F"/>
          <w:spacing w:val="3"/>
        </w:rPr>
        <w:t>、噪声异常展宽或响应不稳定等现象。</w:t>
      </w:r>
    </w:p>
    <w:p w14:paraId="37DC145B">
      <w:pPr>
        <w:pStyle w:val="2"/>
        <w:spacing w:before="332" w:line="239" w:lineRule="auto"/>
        <w:ind w:left="2"/>
      </w:pPr>
      <w:r>
        <w:rPr>
          <w:color w:val="32373F"/>
          <w:spacing w:val="5"/>
        </w:rPr>
        <w:t>若各通道基线随温度呈现平滑、单调且可重复的变化规律，并在系统恢复室温后回归至接近初始</w:t>
      </w:r>
      <w:r>
        <w:rPr>
          <w:color w:val="32373F"/>
          <w:spacing w:val="4"/>
        </w:rPr>
        <w:t>水平，则表明电子学基线具有良好的温度稳定性与热恢复能力，读出系统</w:t>
      </w:r>
      <w:r>
        <w:rPr>
          <w:color w:val="32373F"/>
          <w:spacing w:val="3"/>
        </w:rPr>
        <w:t>整体处于正常工作状态。</w:t>
      </w:r>
    </w:p>
    <w:p w14:paraId="2528B1BD">
      <w:pPr>
        <w:pStyle w:val="2"/>
        <w:spacing w:before="252" w:line="187" w:lineRule="auto"/>
        <w:ind w:left="9"/>
        <w:outlineLvl w:val="3"/>
      </w:pPr>
      <w:r>
        <w:rPr>
          <w:rFonts w:ascii="Arial" w:hAnsi="Arial" w:eastAsia="Arial" w:cs="Arial"/>
          <w:b/>
          <w:bCs/>
          <w:color w:val="32373F"/>
          <w:spacing w:val="3"/>
        </w:rPr>
        <w:t xml:space="preserve">5.1.1 </w:t>
      </w:r>
      <w:r>
        <w:rPr>
          <w:b/>
          <w:bCs/>
          <w:color w:val="32373F"/>
          <w:spacing w:val="3"/>
        </w:rPr>
        <w:t>主份高增益基线及时间稳定性</w:t>
      </w:r>
    </w:p>
    <w:p w14:paraId="6C99B4AC">
      <w:pPr>
        <w:spacing w:line="187" w:lineRule="auto"/>
        <w:sectPr>
          <w:headerReference r:id="rId8" w:type="default"/>
          <w:pgSz w:w="11919" w:h="16858"/>
          <w:pgMar w:top="589" w:right="783" w:bottom="0" w:left="785" w:header="560" w:footer="0" w:gutter="0"/>
          <w:cols w:space="720" w:num="1"/>
        </w:sectPr>
      </w:pPr>
    </w:p>
    <w:p w14:paraId="7216FA15">
      <w:pPr>
        <w:spacing w:before="160" w:line="10185" w:lineRule="exact"/>
      </w:pPr>
      <w:r>
        <w:rPr>
          <w:position w:val="-203"/>
        </w:rPr>
        <w:drawing>
          <wp:inline distT="0" distB="0" distL="0" distR="0">
            <wp:extent cx="6572250" cy="646747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28"/>
                    <a:stretch>
                      <a:fillRect/>
                    </a:stretch>
                  </pic:blipFill>
                  <pic:spPr>
                    <a:xfrm>
                      <a:off x="0" y="0"/>
                      <a:ext cx="6572250" cy="6467475"/>
                    </a:xfrm>
                    <a:prstGeom prst="rect">
                      <a:avLst/>
                    </a:prstGeom>
                  </pic:spPr>
                </pic:pic>
              </a:graphicData>
            </a:graphic>
          </wp:inline>
        </w:drawing>
      </w:r>
    </w:p>
    <w:p w14:paraId="49016916">
      <w:pPr>
        <w:pStyle w:val="2"/>
        <w:spacing w:before="321" w:line="239" w:lineRule="auto"/>
        <w:ind w:left="3" w:right="75"/>
      </w:pPr>
      <w:r>
        <w:rPr>
          <w:color w:val="32373F"/>
          <w:spacing w:val="5"/>
        </w:rPr>
        <w:t xml:space="preserve">该图展示了高温保持阶段 </w:t>
      </w:r>
      <w:r>
        <w:rPr>
          <w:rFonts w:ascii="Arial" w:hAnsi="Arial" w:eastAsia="Arial" w:cs="Arial"/>
          <w:color w:val="32373F"/>
        </w:rPr>
        <w:t>Calo</w:t>
      </w:r>
      <w:r>
        <w:rPr>
          <w:rFonts w:ascii="Arial" w:hAnsi="Arial" w:eastAsia="Arial" w:cs="Arial"/>
          <w:color w:val="32373F"/>
          <w:spacing w:val="5"/>
        </w:rPr>
        <w:t xml:space="preserve"> </w:t>
      </w:r>
      <w:r>
        <w:rPr>
          <w:color w:val="32373F"/>
          <w:spacing w:val="5"/>
        </w:rPr>
        <w:t>主份高增益（</w:t>
      </w:r>
      <w:r>
        <w:rPr>
          <w:rFonts w:ascii="Arial" w:hAnsi="Arial" w:eastAsia="Arial" w:cs="Arial"/>
          <w:color w:val="32373F"/>
        </w:rPr>
        <w:t>Main</w:t>
      </w:r>
      <w:r>
        <w:rPr>
          <w:rFonts w:ascii="Arial" w:hAnsi="Arial" w:eastAsia="Arial" w:cs="Arial"/>
          <w:color w:val="32373F"/>
          <w:spacing w:val="19"/>
        </w:rPr>
        <w:t xml:space="preserve"> </w:t>
      </w:r>
      <w:r>
        <w:rPr>
          <w:rFonts w:ascii="Arial" w:hAnsi="Arial" w:eastAsia="Arial" w:cs="Arial"/>
          <w:color w:val="32373F"/>
        </w:rPr>
        <w:t>High</w:t>
      </w:r>
      <w:r>
        <w:rPr>
          <w:color w:val="32373F"/>
          <w:spacing w:val="5"/>
        </w:rPr>
        <w:t xml:space="preserve">）读出链路 </w:t>
      </w:r>
      <w:r>
        <w:rPr>
          <w:rFonts w:ascii="Arial" w:hAnsi="Arial" w:eastAsia="Arial" w:cs="Arial"/>
          <w:color w:val="32373F"/>
          <w:spacing w:val="5"/>
        </w:rPr>
        <w:t xml:space="preserve">25 </w:t>
      </w:r>
      <w:r>
        <w:rPr>
          <w:color w:val="32373F"/>
          <w:spacing w:val="5"/>
        </w:rPr>
        <w:t>个晶体单元的台基（</w:t>
      </w:r>
      <w:r>
        <w:rPr>
          <w:rFonts w:ascii="Arial" w:hAnsi="Arial" w:eastAsia="Arial" w:cs="Arial"/>
          <w:color w:val="32373F"/>
        </w:rPr>
        <w:t>Pedestal</w:t>
      </w:r>
      <w:r>
        <w:rPr>
          <w:color w:val="32373F"/>
          <w:spacing w:val="5"/>
        </w:rPr>
        <w:t>）分</w:t>
      </w:r>
      <w:r>
        <w:rPr>
          <w:color w:val="32373F"/>
          <w:spacing w:val="-10"/>
        </w:rPr>
        <w:t>布。</w:t>
      </w:r>
    </w:p>
    <w:p w14:paraId="088B7703">
      <w:pPr>
        <w:pStyle w:val="2"/>
        <w:spacing w:before="309" w:line="239" w:lineRule="auto"/>
        <w:ind w:left="4" w:right="47" w:hanging="3"/>
      </w:pPr>
      <w:r>
        <w:rPr>
          <w:color w:val="32373F"/>
          <w:spacing w:val="4"/>
        </w:rPr>
        <w:t>各通道均呈现清晰的单峰高斯结构，红色曲线为高斯拟合结果，拟合质量良好，峰形对称，无明</w:t>
      </w:r>
      <w:r>
        <w:rPr>
          <w:color w:val="32373F"/>
          <w:spacing w:val="3"/>
        </w:rPr>
        <w:t>显双峰、异常长尾或离散噪声峰，表明该阶段主份高增益读出链路工作状态整体正常。</w:t>
      </w:r>
    </w:p>
    <w:p w14:paraId="558A5052">
      <w:pPr>
        <w:pStyle w:val="2"/>
        <w:spacing w:before="239" w:line="242" w:lineRule="auto"/>
        <w:ind w:left="13" w:right="40" w:hanging="12"/>
        <w:jc w:val="both"/>
      </w:pPr>
      <w:r>
        <w:rPr>
          <w:color w:val="32373F"/>
          <w:spacing w:val="4"/>
        </w:rPr>
        <w:t>各通道台基均值（</w:t>
      </w:r>
      <w:r>
        <w:rPr>
          <w:rFonts w:ascii="Arial" w:hAnsi="Arial" w:eastAsia="Arial" w:cs="Arial"/>
          <w:color w:val="32373F"/>
        </w:rPr>
        <w:t>Mean</w:t>
      </w:r>
      <w:r>
        <w:rPr>
          <w:color w:val="32373F"/>
          <w:spacing w:val="4"/>
        </w:rPr>
        <w:t>）分布在约</w:t>
      </w:r>
      <w:r>
        <w:rPr>
          <w:color w:val="32373F"/>
          <w:spacing w:val="22"/>
          <w:w w:val="101"/>
        </w:rPr>
        <w:t xml:space="preserve"> </w:t>
      </w:r>
      <w:r>
        <w:rPr>
          <w:rFonts w:ascii="Arial" w:hAnsi="Arial" w:eastAsia="Arial" w:cs="Arial"/>
          <w:color w:val="32373F"/>
          <w:spacing w:val="4"/>
        </w:rPr>
        <w:t xml:space="preserve">779–1180 </w:t>
      </w:r>
      <w:r>
        <w:rPr>
          <w:rFonts w:ascii="Arial" w:hAnsi="Arial" w:eastAsia="Arial" w:cs="Arial"/>
          <w:color w:val="32373F"/>
        </w:rPr>
        <w:t>ADC</w:t>
      </w:r>
      <w:r>
        <w:rPr>
          <w:rFonts w:ascii="Arial" w:hAnsi="Arial" w:eastAsia="Arial" w:cs="Arial"/>
          <w:color w:val="32373F"/>
          <w:spacing w:val="4"/>
        </w:rPr>
        <w:t xml:space="preserve"> </w:t>
      </w:r>
      <w:r>
        <w:rPr>
          <w:color w:val="32373F"/>
          <w:spacing w:val="4"/>
        </w:rPr>
        <w:t xml:space="preserve">之间，通道间存在一定的台基偏置，属于各通道前端电子学偏置及 </w:t>
      </w:r>
      <w:r>
        <w:rPr>
          <w:rFonts w:ascii="Arial" w:hAnsi="Arial" w:eastAsia="Arial" w:cs="Arial"/>
          <w:color w:val="32373F"/>
        </w:rPr>
        <w:t>ADC</w:t>
      </w:r>
      <w:r>
        <w:rPr>
          <w:rFonts w:ascii="Arial" w:hAnsi="Arial" w:eastAsia="Arial" w:cs="Arial"/>
          <w:color w:val="32373F"/>
          <w:spacing w:val="4"/>
        </w:rPr>
        <w:t xml:space="preserve"> </w:t>
      </w:r>
      <w:r>
        <w:rPr>
          <w:color w:val="32373F"/>
          <w:spacing w:val="4"/>
        </w:rPr>
        <w:t xml:space="preserve">基准差异所致的固有分散。高斯拟合 </w:t>
      </w:r>
      <w:r>
        <w:rPr>
          <w:rFonts w:ascii="Arial" w:hAnsi="Arial" w:eastAsia="Arial" w:cs="Arial"/>
          <w:color w:val="32373F"/>
          <w:spacing w:val="4"/>
        </w:rPr>
        <w:t xml:space="preserve">σ </w:t>
      </w:r>
      <w:r>
        <w:rPr>
          <w:color w:val="32373F"/>
          <w:spacing w:val="4"/>
        </w:rPr>
        <w:t xml:space="preserve">值集中在约 </w:t>
      </w:r>
      <w:r>
        <w:rPr>
          <w:rFonts w:ascii="Arial" w:hAnsi="Arial" w:eastAsia="Arial" w:cs="Arial"/>
          <w:color w:val="32373F"/>
          <w:spacing w:val="4"/>
        </w:rPr>
        <w:t xml:space="preserve">24.7–27.4 </w:t>
      </w:r>
      <w:r>
        <w:rPr>
          <w:rFonts w:ascii="Arial" w:hAnsi="Arial" w:eastAsia="Arial" w:cs="Arial"/>
          <w:color w:val="32373F"/>
        </w:rPr>
        <w:t>ADC</w:t>
      </w:r>
      <w:r>
        <w:rPr>
          <w:rFonts w:ascii="Arial" w:hAnsi="Arial" w:eastAsia="Arial" w:cs="Arial"/>
          <w:color w:val="32373F"/>
          <w:spacing w:val="4"/>
        </w:rPr>
        <w:t xml:space="preserve"> </w:t>
      </w:r>
      <w:r>
        <w:rPr>
          <w:color w:val="32373F"/>
          <w:spacing w:val="4"/>
        </w:rPr>
        <w:t>范围</w:t>
      </w:r>
      <w:r>
        <w:rPr>
          <w:color w:val="32373F"/>
          <w:spacing w:val="3"/>
        </w:rPr>
        <w:t>内，各通道</w:t>
      </w:r>
      <w:r>
        <w:rPr>
          <w:color w:val="32373F"/>
          <w:spacing w:val="1"/>
        </w:rPr>
        <w:t xml:space="preserve">噪声水平相近，未发现 </w:t>
      </w:r>
      <w:r>
        <w:rPr>
          <w:rFonts w:ascii="Arial" w:hAnsi="Arial" w:eastAsia="Arial" w:cs="Arial"/>
          <w:color w:val="32373F"/>
          <w:spacing w:val="1"/>
        </w:rPr>
        <w:t xml:space="preserve">σ </w:t>
      </w:r>
      <w:r>
        <w:rPr>
          <w:color w:val="32373F"/>
          <w:spacing w:val="1"/>
        </w:rPr>
        <w:t>异常展宽的通道。</w:t>
      </w:r>
    </w:p>
    <w:p w14:paraId="1B030E5C">
      <w:pPr>
        <w:pStyle w:val="2"/>
        <w:spacing w:before="266" w:line="187" w:lineRule="auto"/>
        <w:ind w:left="4"/>
      </w:pPr>
      <w:r>
        <w:rPr>
          <w:b/>
          <w:bCs/>
          <w:color w:val="32373F"/>
          <w:spacing w:val="5"/>
        </w:rPr>
        <w:t>高斯拟合</w:t>
      </w:r>
      <w:r>
        <w:rPr>
          <w:rFonts w:ascii="Arial" w:hAnsi="Arial" w:eastAsia="Arial" w:cs="Arial"/>
          <w:b/>
          <w:bCs/>
          <w:color w:val="32373F"/>
        </w:rPr>
        <w:t>mean</w:t>
      </w:r>
      <w:r>
        <w:rPr>
          <w:b/>
          <w:bCs/>
          <w:color w:val="32373F"/>
          <w:spacing w:val="5"/>
        </w:rPr>
        <w:t>值时间稳定性</w:t>
      </w:r>
    </w:p>
    <w:p w14:paraId="079A4897">
      <w:pPr>
        <w:spacing w:line="187" w:lineRule="auto"/>
        <w:sectPr>
          <w:headerReference r:id="rId9" w:type="default"/>
          <w:pgSz w:w="11919" w:h="16858"/>
          <w:pgMar w:top="400" w:right="783" w:bottom="0" w:left="785" w:header="0" w:footer="0" w:gutter="0"/>
          <w:cols w:space="720" w:num="1"/>
        </w:sectPr>
      </w:pPr>
    </w:p>
    <w:p w14:paraId="0DDC332B">
      <w:pPr>
        <w:spacing w:before="160" w:line="8865" w:lineRule="exact"/>
      </w:pPr>
      <w:r>
        <w:rPr>
          <w:position w:val="-177"/>
        </w:rPr>
        <w:drawing>
          <wp:inline distT="0" distB="0" distL="0" distR="0">
            <wp:extent cx="6572250" cy="5629275"/>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29"/>
                    <a:stretch>
                      <a:fillRect/>
                    </a:stretch>
                  </pic:blipFill>
                  <pic:spPr>
                    <a:xfrm>
                      <a:off x="0" y="0"/>
                      <a:ext cx="6572250" cy="5629275"/>
                    </a:xfrm>
                    <a:prstGeom prst="rect">
                      <a:avLst/>
                    </a:prstGeom>
                  </pic:spPr>
                </pic:pic>
              </a:graphicData>
            </a:graphic>
          </wp:inline>
        </w:drawing>
      </w:r>
    </w:p>
    <w:p w14:paraId="174AAB52">
      <w:pPr>
        <w:pStyle w:val="2"/>
        <w:spacing w:before="320" w:line="239" w:lineRule="auto"/>
        <w:ind w:left="3" w:right="36"/>
      </w:pPr>
      <w:r>
        <w:rPr>
          <w:color w:val="32373F"/>
          <w:spacing w:val="2"/>
        </w:rPr>
        <w:t xml:space="preserve">该图展示了 </w:t>
      </w:r>
      <w:r>
        <w:rPr>
          <w:rFonts w:ascii="Arial" w:hAnsi="Arial" w:eastAsia="Arial" w:cs="Arial"/>
          <w:color w:val="32373F"/>
          <w:spacing w:val="2"/>
        </w:rPr>
        <w:t xml:space="preserve">3 </w:t>
      </w:r>
      <w:r>
        <w:rPr>
          <w:color w:val="32373F"/>
          <w:spacing w:val="2"/>
        </w:rPr>
        <w:t>月</w:t>
      </w:r>
      <w:r>
        <w:rPr>
          <w:color w:val="32373F"/>
          <w:spacing w:val="39"/>
        </w:rPr>
        <w:t xml:space="preserve"> </w:t>
      </w:r>
      <w:r>
        <w:rPr>
          <w:rFonts w:ascii="Arial" w:hAnsi="Arial" w:eastAsia="Arial" w:cs="Arial"/>
          <w:color w:val="32373F"/>
          <w:spacing w:val="2"/>
        </w:rPr>
        <w:t>16</w:t>
      </w:r>
      <w:r>
        <w:rPr>
          <w:rFonts w:ascii="Arial" w:hAnsi="Arial" w:eastAsia="Arial" w:cs="Arial"/>
          <w:color w:val="32373F"/>
          <w:spacing w:val="36"/>
        </w:rPr>
        <w:t xml:space="preserve"> </w:t>
      </w:r>
      <w:r>
        <w:rPr>
          <w:color w:val="32373F"/>
          <w:spacing w:val="2"/>
        </w:rPr>
        <w:t xml:space="preserve">日至 </w:t>
      </w:r>
      <w:r>
        <w:rPr>
          <w:rFonts w:ascii="Arial" w:hAnsi="Arial" w:eastAsia="Arial" w:cs="Arial"/>
          <w:color w:val="32373F"/>
          <w:spacing w:val="2"/>
        </w:rPr>
        <w:t>23</w:t>
      </w:r>
      <w:r>
        <w:rPr>
          <w:rFonts w:ascii="Arial" w:hAnsi="Arial" w:eastAsia="Arial" w:cs="Arial"/>
          <w:color w:val="32373F"/>
          <w:spacing w:val="36"/>
        </w:rPr>
        <w:t xml:space="preserve"> </w:t>
      </w:r>
      <w:r>
        <w:rPr>
          <w:color w:val="32373F"/>
          <w:spacing w:val="2"/>
        </w:rPr>
        <w:t>日整个热循环期间，</w:t>
      </w:r>
      <w:r>
        <w:rPr>
          <w:rFonts w:ascii="Arial" w:hAnsi="Arial" w:eastAsia="Arial" w:cs="Arial"/>
          <w:color w:val="32373F"/>
          <w:spacing w:val="2"/>
        </w:rPr>
        <w:t xml:space="preserve">25 </w:t>
      </w:r>
      <w:r>
        <w:rPr>
          <w:color w:val="32373F"/>
          <w:spacing w:val="2"/>
        </w:rPr>
        <w:t>个晶体单元主份高增益台基均值（蓝色点，左轴）及其相对波动量（红色线，右轴）的时间演化。</w:t>
      </w:r>
    </w:p>
    <w:p w14:paraId="5A3F8BC3">
      <w:pPr>
        <w:pStyle w:val="2"/>
        <w:spacing w:before="267" w:line="235" w:lineRule="auto"/>
        <w:ind w:firstLine="7"/>
      </w:pPr>
      <w:r>
        <w:rPr>
          <w:b/>
          <w:bCs/>
          <w:color w:val="32373F"/>
          <w:spacing w:val="3"/>
        </w:rPr>
        <w:t>台基均值（蓝色</w:t>
      </w:r>
      <w:r>
        <w:rPr>
          <w:b/>
          <w:bCs/>
          <w:color w:val="32373F"/>
          <w:spacing w:val="1"/>
        </w:rPr>
        <w:t>）</w:t>
      </w:r>
      <w:r>
        <w:rPr>
          <w:b/>
          <w:bCs/>
          <w:color w:val="32373F"/>
          <w:spacing w:val="11"/>
        </w:rPr>
        <w:t xml:space="preserve"> </w:t>
      </w:r>
      <w:r>
        <w:rPr>
          <w:color w:val="32373F"/>
          <w:spacing w:val="1"/>
        </w:rPr>
        <w:t>：</w:t>
      </w:r>
      <w:r>
        <w:rPr>
          <w:color w:val="32373F"/>
          <w:spacing w:val="3"/>
        </w:rPr>
        <w:t>各晶体通道的台基均值值随</w:t>
      </w:r>
      <w:r>
        <w:rPr>
          <w:color w:val="32373F"/>
          <w:spacing w:val="2"/>
        </w:rPr>
        <w:t>时间呈现出清晰的周期性振荡，振荡幅度约为</w:t>
      </w:r>
      <w:r>
        <w:rPr>
          <w:color w:val="32373F"/>
          <w:spacing w:val="23"/>
        </w:rPr>
        <w:t xml:space="preserve"> </w:t>
      </w:r>
      <w:r>
        <w:rPr>
          <w:rFonts w:ascii="Arial" w:hAnsi="Arial" w:eastAsia="Arial" w:cs="Arial"/>
          <w:color w:val="32373F"/>
          <w:spacing w:val="2"/>
        </w:rPr>
        <w:t>±50–100</w:t>
      </w:r>
      <w:r>
        <w:rPr>
          <w:rFonts w:ascii="Arial" w:hAnsi="Arial" w:eastAsia="Arial" w:cs="Arial"/>
          <w:color w:val="32373F"/>
        </w:rPr>
        <w:t xml:space="preserve"> ADC</w:t>
      </w:r>
      <w:r>
        <w:rPr>
          <w:color w:val="32373F"/>
          <w:spacing w:val="5"/>
        </w:rPr>
        <w:t>，与热循环的升降温剖面高度吻合，说明台基对温度存在一定的线性响应。这一现象在所</w:t>
      </w:r>
      <w:r>
        <w:rPr>
          <w:color w:val="32373F"/>
          <w:spacing w:val="4"/>
        </w:rPr>
        <w:t xml:space="preserve">有 </w:t>
      </w:r>
      <w:r>
        <w:rPr>
          <w:rFonts w:ascii="Arial" w:hAnsi="Arial" w:eastAsia="Arial" w:cs="Arial"/>
          <w:color w:val="32373F"/>
          <w:spacing w:val="4"/>
        </w:rPr>
        <w:t xml:space="preserve">25 </w:t>
      </w:r>
      <w:r>
        <w:rPr>
          <w:color w:val="32373F"/>
          <w:spacing w:val="4"/>
        </w:rPr>
        <w:t>个通</w:t>
      </w:r>
      <w:r>
        <w:rPr>
          <w:color w:val="32373F"/>
          <w:spacing w:val="5"/>
        </w:rPr>
        <w:t>道中普遍存在，行为一致，属于正常的温度相关性响应。整个监测期间内，各通道的台基均值在每个温度</w:t>
      </w:r>
      <w:r>
        <w:rPr>
          <w:color w:val="32373F"/>
          <w:spacing w:val="3"/>
        </w:rPr>
        <w:t>台阶均能回归至相近水平，无系统性单向漂移趋势。</w:t>
      </w:r>
    </w:p>
    <w:p w14:paraId="3331E5F9">
      <w:pPr>
        <w:pStyle w:val="2"/>
        <w:spacing w:before="277" w:line="239" w:lineRule="auto"/>
        <w:ind w:left="4" w:right="113" w:hanging="2"/>
      </w:pPr>
      <w:r>
        <w:rPr>
          <w:b/>
          <w:bCs/>
          <w:color w:val="32373F"/>
          <w:spacing w:val="3"/>
        </w:rPr>
        <w:t>相对波动量（红色</w:t>
      </w:r>
      <w:r>
        <w:rPr>
          <w:b/>
          <w:bCs/>
          <w:color w:val="32373F"/>
          <w:spacing w:val="1"/>
        </w:rPr>
        <w:t>）</w:t>
      </w:r>
      <w:r>
        <w:rPr>
          <w:b/>
          <w:bCs/>
          <w:color w:val="32373F"/>
          <w:spacing w:val="19"/>
        </w:rPr>
        <w:t xml:space="preserve"> </w:t>
      </w:r>
      <w:r>
        <w:rPr>
          <w:color w:val="32373F"/>
          <w:spacing w:val="1"/>
        </w:rPr>
        <w:t>：</w:t>
      </w:r>
      <w:r>
        <w:rPr>
          <w:color w:val="32373F"/>
          <w:spacing w:val="3"/>
        </w:rPr>
        <w:t>各晶体通道的相对波动幅度均控制</w:t>
      </w:r>
      <w:r>
        <w:rPr>
          <w:color w:val="32373F"/>
          <w:spacing w:val="2"/>
        </w:rPr>
        <w:t>在约</w:t>
      </w:r>
      <w:r>
        <w:rPr>
          <w:color w:val="32373F"/>
          <w:spacing w:val="18"/>
        </w:rPr>
        <w:t xml:space="preserve"> </w:t>
      </w:r>
      <w:r>
        <w:rPr>
          <w:rFonts w:ascii="Arial" w:hAnsi="Arial" w:eastAsia="Arial" w:cs="Arial"/>
          <w:color w:val="32373F"/>
          <w:spacing w:val="2"/>
        </w:rPr>
        <w:t xml:space="preserve">±0.2 </w:t>
      </w:r>
      <w:r>
        <w:rPr>
          <w:color w:val="32373F"/>
          <w:spacing w:val="2"/>
        </w:rPr>
        <w:t>以内，整体波动平稳，未出现突变式</w:t>
      </w:r>
      <w:r>
        <w:rPr>
          <w:color w:val="32373F"/>
          <w:spacing w:val="3"/>
        </w:rPr>
        <w:t>异常跳变，说明台基随温度的变化具有良好的可重复</w:t>
      </w:r>
      <w:r>
        <w:rPr>
          <w:color w:val="32373F"/>
          <w:spacing w:val="2"/>
        </w:rPr>
        <w:t>性。</w:t>
      </w:r>
    </w:p>
    <w:p w14:paraId="2FB076F4">
      <w:pPr>
        <w:pStyle w:val="2"/>
        <w:spacing w:before="295" w:line="187" w:lineRule="auto"/>
        <w:ind w:left="4"/>
      </w:pPr>
      <w:r>
        <w:rPr>
          <w:b/>
          <w:bCs/>
          <w:color w:val="32373F"/>
          <w:spacing w:val="4"/>
        </w:rPr>
        <w:t>高斯拟合</w:t>
      </w:r>
      <w:r>
        <w:rPr>
          <w:rFonts w:ascii="Arial" w:hAnsi="Arial" w:eastAsia="Arial" w:cs="Arial"/>
          <w:b/>
          <w:bCs/>
          <w:color w:val="32373F"/>
          <w:spacing w:val="4"/>
        </w:rPr>
        <w:t>σ</w:t>
      </w:r>
      <w:r>
        <w:rPr>
          <w:b/>
          <w:bCs/>
          <w:color w:val="32373F"/>
          <w:spacing w:val="4"/>
        </w:rPr>
        <w:t>值时间稳定性</w:t>
      </w:r>
    </w:p>
    <w:p w14:paraId="079B3CBE">
      <w:pPr>
        <w:spacing w:line="187" w:lineRule="auto"/>
        <w:sectPr>
          <w:pgSz w:w="11919" w:h="16858"/>
          <w:pgMar w:top="400" w:right="783" w:bottom="0" w:left="785" w:header="0" w:footer="0" w:gutter="0"/>
          <w:cols w:space="720" w:num="1"/>
        </w:sectPr>
      </w:pPr>
    </w:p>
    <w:p w14:paraId="7D27EAF3">
      <w:pPr>
        <w:spacing w:before="160" w:line="8865" w:lineRule="exact"/>
      </w:pPr>
      <w:r>
        <w:rPr>
          <w:position w:val="-177"/>
        </w:rPr>
        <w:drawing>
          <wp:inline distT="0" distB="0" distL="0" distR="0">
            <wp:extent cx="6572250" cy="5629275"/>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30"/>
                    <a:stretch>
                      <a:fillRect/>
                    </a:stretch>
                  </pic:blipFill>
                  <pic:spPr>
                    <a:xfrm>
                      <a:off x="0" y="0"/>
                      <a:ext cx="6572250" cy="5629275"/>
                    </a:xfrm>
                    <a:prstGeom prst="rect">
                      <a:avLst/>
                    </a:prstGeom>
                  </pic:spPr>
                </pic:pic>
              </a:graphicData>
            </a:graphic>
          </wp:inline>
        </w:drawing>
      </w:r>
    </w:p>
    <w:p w14:paraId="1D4EC3B2">
      <w:pPr>
        <w:spacing w:line="266" w:lineRule="auto"/>
        <w:rPr>
          <w:rFonts w:ascii="Arial"/>
          <w:sz w:val="21"/>
        </w:rPr>
      </w:pPr>
    </w:p>
    <w:p w14:paraId="21E6FD59">
      <w:pPr>
        <w:pStyle w:val="2"/>
        <w:spacing w:before="95" w:line="187" w:lineRule="auto"/>
        <w:ind w:left="3"/>
      </w:pPr>
      <w:r>
        <w:rPr>
          <w:color w:val="32373F"/>
          <w:spacing w:val="4"/>
        </w:rPr>
        <w:t xml:space="preserve">该图展示了相同时间段内各晶体单元高斯拟合 </w:t>
      </w:r>
      <w:r>
        <w:rPr>
          <w:rFonts w:ascii="Arial" w:hAnsi="Arial" w:eastAsia="Arial" w:cs="Arial"/>
          <w:color w:val="32373F"/>
          <w:spacing w:val="4"/>
        </w:rPr>
        <w:t xml:space="preserve">σ </w:t>
      </w:r>
      <w:r>
        <w:rPr>
          <w:color w:val="32373F"/>
          <w:spacing w:val="4"/>
        </w:rPr>
        <w:t>值（蓝色点，左轴）及其相对波动量</w:t>
      </w:r>
      <w:r>
        <w:rPr>
          <w:color w:val="32373F"/>
          <w:spacing w:val="3"/>
        </w:rPr>
        <w:t>（红色线，右轴）</w:t>
      </w:r>
    </w:p>
    <w:p w14:paraId="4F4D266E">
      <w:pPr>
        <w:pStyle w:val="2"/>
        <w:spacing w:before="67" w:line="186" w:lineRule="auto"/>
        <w:ind w:left="12"/>
      </w:pPr>
      <w:r>
        <w:rPr>
          <w:color w:val="32373F"/>
          <w:spacing w:val="-4"/>
        </w:rPr>
        <w:t>的时间演化。</w:t>
      </w:r>
    </w:p>
    <w:p w14:paraId="628C9AE6">
      <w:pPr>
        <w:pStyle w:val="2"/>
        <w:spacing w:before="324" w:line="229" w:lineRule="auto"/>
        <w:ind w:left="8"/>
      </w:pPr>
      <w:r>
        <w:rPr>
          <w:rFonts w:ascii="Arial" w:hAnsi="Arial" w:eastAsia="Arial" w:cs="Arial"/>
          <w:b/>
          <w:bCs/>
          <w:color w:val="32373F"/>
          <w:spacing w:val="4"/>
        </w:rPr>
        <w:t xml:space="preserve">σ </w:t>
      </w:r>
      <w:r>
        <w:rPr>
          <w:b/>
          <w:bCs/>
          <w:color w:val="32373F"/>
          <w:spacing w:val="4"/>
        </w:rPr>
        <w:t>值（蓝色</w:t>
      </w:r>
      <w:r>
        <w:rPr>
          <w:b/>
          <w:bCs/>
          <w:color w:val="32373F"/>
          <w:spacing w:val="-16"/>
        </w:rPr>
        <w:t>）</w:t>
      </w:r>
      <w:r>
        <w:rPr>
          <w:b/>
          <w:bCs/>
          <w:color w:val="32373F"/>
          <w:spacing w:val="1"/>
        </w:rPr>
        <w:t xml:space="preserve"> </w:t>
      </w:r>
      <w:r>
        <w:rPr>
          <w:color w:val="32373F"/>
          <w:spacing w:val="-16"/>
        </w:rPr>
        <w:t>：</w:t>
      </w:r>
      <w:r>
        <w:rPr>
          <w:rFonts w:ascii="Arial" w:hAnsi="Arial" w:eastAsia="Arial" w:cs="Arial"/>
          <w:color w:val="32373F"/>
          <w:spacing w:val="4"/>
        </w:rPr>
        <w:t xml:space="preserve">25 </w:t>
      </w:r>
      <w:r>
        <w:rPr>
          <w:color w:val="32373F"/>
          <w:spacing w:val="4"/>
        </w:rPr>
        <w:t xml:space="preserve">个通道的 </w:t>
      </w:r>
      <w:r>
        <w:rPr>
          <w:rFonts w:ascii="Arial" w:hAnsi="Arial" w:eastAsia="Arial" w:cs="Arial"/>
          <w:color w:val="32373F"/>
          <w:spacing w:val="4"/>
        </w:rPr>
        <w:t xml:space="preserve">σ </w:t>
      </w:r>
      <w:r>
        <w:rPr>
          <w:color w:val="32373F"/>
          <w:spacing w:val="4"/>
        </w:rPr>
        <w:t>在整个热</w:t>
      </w:r>
      <w:r>
        <w:rPr>
          <w:color w:val="32373F"/>
          <w:spacing w:val="3"/>
        </w:rPr>
        <w:t xml:space="preserve">循环过程中维持在约 </w:t>
      </w:r>
      <w:r>
        <w:rPr>
          <w:rFonts w:ascii="Arial" w:hAnsi="Arial" w:eastAsia="Arial" w:cs="Arial"/>
          <w:color w:val="32373F"/>
          <w:spacing w:val="3"/>
        </w:rPr>
        <w:t xml:space="preserve">23–29 </w:t>
      </w:r>
      <w:r>
        <w:rPr>
          <w:rFonts w:ascii="Arial" w:hAnsi="Arial" w:eastAsia="Arial" w:cs="Arial"/>
          <w:color w:val="32373F"/>
        </w:rPr>
        <w:t>ADC</w:t>
      </w:r>
      <w:r>
        <w:rPr>
          <w:rFonts w:ascii="Arial" w:hAnsi="Arial" w:eastAsia="Arial" w:cs="Arial"/>
          <w:color w:val="32373F"/>
          <w:spacing w:val="3"/>
        </w:rPr>
        <w:t xml:space="preserve"> </w:t>
      </w:r>
      <w:r>
        <w:rPr>
          <w:color w:val="32373F"/>
          <w:spacing w:val="3"/>
        </w:rPr>
        <w:t>范围内，与单次测量结果</w:t>
      </w:r>
    </w:p>
    <w:p w14:paraId="3C0CD18A">
      <w:pPr>
        <w:pStyle w:val="2"/>
        <w:spacing w:before="2" w:line="228" w:lineRule="auto"/>
        <w:ind w:left="2" w:right="25" w:firstLine="33"/>
      </w:pPr>
      <w:r>
        <w:rPr>
          <w:color w:val="32373F"/>
          <w:spacing w:val="4"/>
        </w:rPr>
        <w:t>（</w:t>
      </w:r>
      <w:r>
        <w:rPr>
          <w:rFonts w:ascii="Arial" w:hAnsi="Arial" w:eastAsia="Arial" w:cs="Arial"/>
          <w:color w:val="32373F"/>
          <w:spacing w:val="4"/>
        </w:rPr>
        <w:t xml:space="preserve">24.7–27.4 </w:t>
      </w:r>
      <w:r>
        <w:rPr>
          <w:rFonts w:ascii="Arial" w:hAnsi="Arial" w:eastAsia="Arial" w:cs="Arial"/>
          <w:color w:val="32373F"/>
        </w:rPr>
        <w:t>ADC</w:t>
      </w:r>
      <w:r>
        <w:rPr>
          <w:color w:val="32373F"/>
          <w:spacing w:val="4"/>
        </w:rPr>
        <w:t xml:space="preserve">）一致。各通道 </w:t>
      </w:r>
      <w:r>
        <w:rPr>
          <w:rFonts w:ascii="Arial" w:hAnsi="Arial" w:eastAsia="Arial" w:cs="Arial"/>
          <w:color w:val="32373F"/>
          <w:spacing w:val="4"/>
        </w:rPr>
        <w:t xml:space="preserve">σ </w:t>
      </w:r>
      <w:r>
        <w:rPr>
          <w:color w:val="32373F"/>
          <w:spacing w:val="4"/>
        </w:rPr>
        <w:t>随温度呈现</w:t>
      </w:r>
      <w:r>
        <w:rPr>
          <w:color w:val="32373F"/>
          <w:spacing w:val="3"/>
        </w:rPr>
        <w:t xml:space="preserve">一定的周期性起伏，但幅度较小，约为 </w:t>
      </w:r>
      <w:r>
        <w:rPr>
          <w:rFonts w:ascii="Arial" w:hAnsi="Arial" w:eastAsia="Arial" w:cs="Arial"/>
          <w:color w:val="32373F"/>
          <w:spacing w:val="3"/>
        </w:rPr>
        <w:t xml:space="preserve">±2–3 </w:t>
      </w:r>
      <w:r>
        <w:rPr>
          <w:rFonts w:ascii="Arial" w:hAnsi="Arial" w:eastAsia="Arial" w:cs="Arial"/>
          <w:color w:val="32373F"/>
        </w:rPr>
        <w:t>ADC</w:t>
      </w:r>
      <w:r>
        <w:rPr>
          <w:color w:val="32373F"/>
          <w:spacing w:val="3"/>
        </w:rPr>
        <w:t>，整体</w:t>
      </w:r>
      <w:r>
        <w:rPr>
          <w:color w:val="32373F"/>
          <w:spacing w:val="-4"/>
        </w:rPr>
        <w:t>趋势平稳。</w:t>
      </w:r>
    </w:p>
    <w:p w14:paraId="54EE47F7">
      <w:pPr>
        <w:pStyle w:val="2"/>
        <w:spacing w:before="2" w:line="232" w:lineRule="auto"/>
        <w:ind w:left="2" w:right="150" w:firstLine="5"/>
      </w:pPr>
      <w:r>
        <w:rPr>
          <w:rFonts w:ascii="Arial" w:hAnsi="Arial" w:eastAsia="Arial" w:cs="Arial"/>
          <w:b/>
          <w:bCs/>
          <w:color w:val="32373F"/>
          <w:spacing w:val="2"/>
        </w:rPr>
        <w:t xml:space="preserve">σ </w:t>
      </w:r>
      <w:r>
        <w:rPr>
          <w:b/>
          <w:bCs/>
          <w:color w:val="32373F"/>
          <w:spacing w:val="2"/>
        </w:rPr>
        <w:t>波动量（红色</w:t>
      </w:r>
      <w:r>
        <w:rPr>
          <w:b/>
          <w:bCs/>
          <w:color w:val="32373F"/>
        </w:rPr>
        <w:t>）</w:t>
      </w:r>
      <w:r>
        <w:rPr>
          <w:b/>
          <w:bCs/>
          <w:color w:val="32373F"/>
          <w:spacing w:val="9"/>
        </w:rPr>
        <w:t xml:space="preserve"> </w:t>
      </w:r>
      <w:r>
        <w:rPr>
          <w:color w:val="32373F"/>
        </w:rPr>
        <w:t>：</w:t>
      </w:r>
      <w:r>
        <w:rPr>
          <w:color w:val="32373F"/>
          <w:spacing w:val="2"/>
        </w:rPr>
        <w:t xml:space="preserve">相对波动幅度多数通道控制在 </w:t>
      </w:r>
      <w:r>
        <w:rPr>
          <w:rFonts w:ascii="Arial" w:hAnsi="Arial" w:eastAsia="Arial" w:cs="Arial"/>
          <w:color w:val="32373F"/>
          <w:spacing w:val="2"/>
        </w:rPr>
        <w:t xml:space="preserve">±0.2 </w:t>
      </w:r>
      <w:r>
        <w:rPr>
          <w:color w:val="32373F"/>
          <w:spacing w:val="2"/>
        </w:rPr>
        <w:t xml:space="preserve">以内，部分通道（如 </w:t>
      </w:r>
      <w:r>
        <w:rPr>
          <w:rFonts w:ascii="Arial" w:hAnsi="Arial" w:eastAsia="Arial" w:cs="Arial"/>
          <w:color w:val="32373F"/>
        </w:rPr>
        <w:t>crystal</w:t>
      </w:r>
      <w:r>
        <w:rPr>
          <w:rFonts w:ascii="Arial" w:hAnsi="Arial" w:eastAsia="Arial" w:cs="Arial"/>
          <w:color w:val="32373F"/>
          <w:spacing w:val="2"/>
        </w:rPr>
        <w:t xml:space="preserve"> 5</w:t>
      </w:r>
      <w:r>
        <w:rPr>
          <w:color w:val="32373F"/>
          <w:spacing w:val="2"/>
        </w:rPr>
        <w:t>、</w:t>
      </w:r>
      <w:r>
        <w:rPr>
          <w:color w:val="32373F"/>
          <w:spacing w:val="-35"/>
        </w:rPr>
        <w:t xml:space="preserve"> </w:t>
      </w:r>
      <w:r>
        <w:rPr>
          <w:rFonts w:ascii="Arial" w:hAnsi="Arial" w:eastAsia="Arial" w:cs="Arial"/>
          <w:color w:val="32373F"/>
          <w:spacing w:val="2"/>
        </w:rPr>
        <w:t>18</w:t>
      </w:r>
      <w:r>
        <w:rPr>
          <w:color w:val="32373F"/>
          <w:spacing w:val="2"/>
        </w:rPr>
        <w:t>、</w:t>
      </w:r>
      <w:r>
        <w:rPr>
          <w:rFonts w:ascii="Arial" w:hAnsi="Arial" w:eastAsia="Arial" w:cs="Arial"/>
          <w:color w:val="32373F"/>
          <w:spacing w:val="2"/>
        </w:rPr>
        <w:t>22–25</w:t>
      </w:r>
      <w:r>
        <w:rPr>
          <w:color w:val="32373F"/>
          <w:spacing w:val="2"/>
        </w:rPr>
        <w:t>）在</w:t>
      </w:r>
      <w:r>
        <w:rPr>
          <w:color w:val="32373F"/>
          <w:spacing w:val="4"/>
        </w:rPr>
        <w:t xml:space="preserve">个别时间点出现略大的波动（约 </w:t>
      </w:r>
      <w:r>
        <w:rPr>
          <w:rFonts w:ascii="Arial" w:hAnsi="Arial" w:eastAsia="Arial" w:cs="Arial"/>
          <w:color w:val="32373F"/>
          <w:spacing w:val="4"/>
        </w:rPr>
        <w:t>±0.3</w:t>
      </w:r>
      <w:r>
        <w:rPr>
          <w:color w:val="32373F"/>
          <w:spacing w:val="3"/>
        </w:rPr>
        <w:t>），</w:t>
      </w:r>
      <w:r>
        <w:rPr>
          <w:color w:val="32373F"/>
          <w:spacing w:val="4"/>
        </w:rPr>
        <w:t>但持续</w:t>
      </w:r>
      <w:r>
        <w:rPr>
          <w:color w:val="32373F"/>
          <w:spacing w:val="3"/>
        </w:rPr>
        <w:t>时间短，属于偶发性散布，不构成系统性异常。</w:t>
      </w:r>
    </w:p>
    <w:p w14:paraId="3A877A1B">
      <w:pPr>
        <w:spacing w:line="248" w:lineRule="auto"/>
        <w:rPr>
          <w:rFonts w:ascii="Arial"/>
          <w:sz w:val="21"/>
        </w:rPr>
      </w:pPr>
    </w:p>
    <w:p w14:paraId="6B794037">
      <w:pPr>
        <w:pStyle w:val="2"/>
        <w:spacing w:before="95" w:line="224" w:lineRule="auto"/>
        <w:ind w:left="1" w:firstLine="2"/>
        <w:jc w:val="both"/>
      </w:pPr>
      <w:r>
        <w:rPr>
          <w:color w:val="32373F"/>
          <w:spacing w:val="5"/>
        </w:rPr>
        <w:t>综合来看，主份高增益读出链路的台基分布在热循环全程表现出良好的温度相关可重复性：</w:t>
      </w:r>
      <w:r>
        <w:rPr>
          <w:color w:val="32373F"/>
          <w:spacing w:val="4"/>
        </w:rPr>
        <w:t>台基均值随温</w:t>
      </w:r>
      <w:r>
        <w:rPr>
          <w:color w:val="32373F"/>
          <w:spacing w:val="3"/>
        </w:rPr>
        <w:t xml:space="preserve">度周期性变化但无不可恢复漂移， </w:t>
      </w:r>
      <w:r>
        <w:rPr>
          <w:rFonts w:ascii="Arial" w:hAnsi="Arial" w:eastAsia="Arial" w:cs="Arial"/>
          <w:color w:val="32373F"/>
          <w:spacing w:val="3"/>
        </w:rPr>
        <w:t xml:space="preserve">σ </w:t>
      </w:r>
      <w:r>
        <w:rPr>
          <w:color w:val="32373F"/>
          <w:spacing w:val="3"/>
        </w:rPr>
        <w:t xml:space="preserve">在合理范围内保持稳定，全部 </w:t>
      </w:r>
      <w:r>
        <w:rPr>
          <w:rFonts w:ascii="Arial" w:hAnsi="Arial" w:eastAsia="Arial" w:cs="Arial"/>
          <w:color w:val="32373F"/>
          <w:spacing w:val="3"/>
        </w:rPr>
        <w:t xml:space="preserve">25 </w:t>
      </w:r>
      <w:r>
        <w:rPr>
          <w:color w:val="32373F"/>
          <w:spacing w:val="3"/>
        </w:rPr>
        <w:t>个通道均正常读出，未发现失效通</w:t>
      </w:r>
      <w:r>
        <w:rPr>
          <w:color w:val="32373F"/>
          <w:spacing w:val="4"/>
        </w:rPr>
        <w:t>道或异常噪声展宽现象。该链路在热循环过程</w:t>
      </w:r>
      <w:r>
        <w:rPr>
          <w:color w:val="32373F"/>
          <w:spacing w:val="3"/>
        </w:rPr>
        <w:t>中的基线稳定性满足预期要求。</w:t>
      </w:r>
    </w:p>
    <w:p w14:paraId="1D204574">
      <w:pPr>
        <w:pStyle w:val="2"/>
        <w:spacing w:before="307" w:line="187" w:lineRule="auto"/>
        <w:ind w:left="9"/>
        <w:outlineLvl w:val="3"/>
      </w:pPr>
      <w:r>
        <w:rPr>
          <w:rFonts w:ascii="Arial" w:hAnsi="Arial" w:eastAsia="Arial" w:cs="Arial"/>
          <w:b/>
          <w:bCs/>
          <w:color w:val="32373F"/>
          <w:spacing w:val="3"/>
        </w:rPr>
        <w:t xml:space="preserve">5.1.2 </w:t>
      </w:r>
      <w:r>
        <w:rPr>
          <w:b/>
          <w:bCs/>
          <w:color w:val="32373F"/>
          <w:spacing w:val="3"/>
        </w:rPr>
        <w:t>主份低增益基线及时间稳定性</w:t>
      </w:r>
    </w:p>
    <w:p w14:paraId="1BE8512B">
      <w:pPr>
        <w:spacing w:line="187" w:lineRule="auto"/>
        <w:sectPr>
          <w:pgSz w:w="11919" w:h="16858"/>
          <w:pgMar w:top="400" w:right="783" w:bottom="0" w:left="785" w:header="0" w:footer="0" w:gutter="0"/>
          <w:cols w:space="720" w:num="1"/>
        </w:sectPr>
      </w:pPr>
    </w:p>
    <w:p w14:paraId="73D07362">
      <w:pPr>
        <w:spacing w:before="160" w:line="10185" w:lineRule="exact"/>
      </w:pPr>
      <w:r>
        <w:rPr>
          <w:position w:val="-203"/>
        </w:rPr>
        <w:drawing>
          <wp:inline distT="0" distB="0" distL="0" distR="0">
            <wp:extent cx="6572250" cy="6467475"/>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31"/>
                    <a:stretch>
                      <a:fillRect/>
                    </a:stretch>
                  </pic:blipFill>
                  <pic:spPr>
                    <a:xfrm>
                      <a:off x="0" y="0"/>
                      <a:ext cx="6572250" cy="6467475"/>
                    </a:xfrm>
                    <a:prstGeom prst="rect">
                      <a:avLst/>
                    </a:prstGeom>
                  </pic:spPr>
                </pic:pic>
              </a:graphicData>
            </a:graphic>
          </wp:inline>
        </w:drawing>
      </w:r>
    </w:p>
    <w:p w14:paraId="6D65077A">
      <w:pPr>
        <w:pStyle w:val="2"/>
        <w:spacing w:before="321" w:line="239" w:lineRule="auto"/>
        <w:ind w:left="3" w:right="125"/>
      </w:pPr>
      <w:r>
        <w:rPr>
          <w:color w:val="32373F"/>
          <w:spacing w:val="5"/>
        </w:rPr>
        <w:t xml:space="preserve">该图展示了高温保持阶段 </w:t>
      </w:r>
      <w:r>
        <w:rPr>
          <w:rFonts w:ascii="Arial" w:hAnsi="Arial" w:eastAsia="Arial" w:cs="Arial"/>
          <w:color w:val="32373F"/>
        </w:rPr>
        <w:t>Calo</w:t>
      </w:r>
      <w:r>
        <w:rPr>
          <w:rFonts w:ascii="Arial" w:hAnsi="Arial" w:eastAsia="Arial" w:cs="Arial"/>
          <w:color w:val="32373F"/>
          <w:spacing w:val="5"/>
        </w:rPr>
        <w:t xml:space="preserve"> </w:t>
      </w:r>
      <w:r>
        <w:rPr>
          <w:color w:val="32373F"/>
          <w:spacing w:val="5"/>
        </w:rPr>
        <w:t>主份低增益（</w:t>
      </w:r>
      <w:r>
        <w:rPr>
          <w:rFonts w:ascii="Arial" w:hAnsi="Arial" w:eastAsia="Arial" w:cs="Arial"/>
          <w:color w:val="32373F"/>
        </w:rPr>
        <w:t>Main</w:t>
      </w:r>
      <w:r>
        <w:rPr>
          <w:rFonts w:ascii="Arial" w:hAnsi="Arial" w:eastAsia="Arial" w:cs="Arial"/>
          <w:color w:val="32373F"/>
          <w:spacing w:val="18"/>
        </w:rPr>
        <w:t xml:space="preserve"> </w:t>
      </w:r>
      <w:r>
        <w:rPr>
          <w:rFonts w:ascii="Arial" w:hAnsi="Arial" w:eastAsia="Arial" w:cs="Arial"/>
          <w:color w:val="32373F"/>
        </w:rPr>
        <w:t>Low</w:t>
      </w:r>
      <w:r>
        <w:rPr>
          <w:color w:val="32373F"/>
          <w:spacing w:val="5"/>
        </w:rPr>
        <w:t xml:space="preserve">）读出链路 </w:t>
      </w:r>
      <w:r>
        <w:rPr>
          <w:rFonts w:ascii="Arial" w:hAnsi="Arial" w:eastAsia="Arial" w:cs="Arial"/>
          <w:color w:val="32373F"/>
          <w:spacing w:val="5"/>
        </w:rPr>
        <w:t xml:space="preserve">25 </w:t>
      </w:r>
      <w:r>
        <w:rPr>
          <w:color w:val="32373F"/>
          <w:spacing w:val="5"/>
        </w:rPr>
        <w:t>个晶体单元的台基（</w:t>
      </w:r>
      <w:r>
        <w:rPr>
          <w:rFonts w:ascii="Arial" w:hAnsi="Arial" w:eastAsia="Arial" w:cs="Arial"/>
          <w:color w:val="32373F"/>
        </w:rPr>
        <w:t>Pedestal</w:t>
      </w:r>
      <w:r>
        <w:rPr>
          <w:color w:val="32373F"/>
          <w:spacing w:val="5"/>
        </w:rPr>
        <w:t>）分</w:t>
      </w:r>
      <w:r>
        <w:rPr>
          <w:color w:val="32373F"/>
          <w:spacing w:val="-10"/>
        </w:rPr>
        <w:t>布。</w:t>
      </w:r>
    </w:p>
    <w:p w14:paraId="1986E520">
      <w:pPr>
        <w:pStyle w:val="2"/>
        <w:spacing w:before="306" w:line="236" w:lineRule="auto"/>
        <w:ind w:left="1" w:firstLine="2"/>
        <w:jc w:val="both"/>
      </w:pPr>
      <w:r>
        <w:rPr>
          <w:color w:val="32373F"/>
          <w:spacing w:val="5"/>
        </w:rPr>
        <w:t>与主份高增益相比，低增益读出链路的台基分布峰形更为尖锐，纵轴采用对数坐标呈现，各通</w:t>
      </w:r>
      <w:r>
        <w:rPr>
          <w:color w:val="32373F"/>
          <w:spacing w:val="4"/>
        </w:rPr>
        <w:t>道均表现为</w:t>
      </w:r>
      <w:r>
        <w:rPr>
          <w:color w:val="32373F"/>
          <w:spacing w:val="5"/>
        </w:rPr>
        <w:t>极窄的单峰结构，红色高斯拟合曲线与数据点吻合良好，无异常旁峰、长尾或离散噪声结构，该阶</w:t>
      </w:r>
      <w:r>
        <w:rPr>
          <w:color w:val="32373F"/>
          <w:spacing w:val="4"/>
        </w:rPr>
        <w:t>段主份</w:t>
      </w:r>
      <w:r>
        <w:rPr>
          <w:color w:val="32373F"/>
          <w:spacing w:val="1"/>
        </w:rPr>
        <w:t>低增益读出链路整体工作正常。</w:t>
      </w:r>
    </w:p>
    <w:p w14:paraId="728D0F3E">
      <w:pPr>
        <w:pStyle w:val="2"/>
        <w:spacing w:before="242" w:line="229" w:lineRule="auto"/>
        <w:ind w:left="3" w:right="23" w:hanging="2"/>
      </w:pPr>
      <w:r>
        <w:rPr>
          <w:color w:val="32373F"/>
          <w:spacing w:val="5"/>
        </w:rPr>
        <w:t>各通道台基均值（</w:t>
      </w:r>
      <w:r>
        <w:rPr>
          <w:rFonts w:ascii="Arial" w:hAnsi="Arial" w:eastAsia="Arial" w:cs="Arial"/>
          <w:color w:val="32373F"/>
        </w:rPr>
        <w:t>Mean</w:t>
      </w:r>
      <w:r>
        <w:rPr>
          <w:color w:val="32373F"/>
          <w:spacing w:val="5"/>
        </w:rPr>
        <w:t xml:space="preserve">）分布在约 </w:t>
      </w:r>
      <w:r>
        <w:rPr>
          <w:rFonts w:ascii="Arial" w:hAnsi="Arial" w:eastAsia="Arial" w:cs="Arial"/>
          <w:color w:val="32373F"/>
          <w:spacing w:val="5"/>
        </w:rPr>
        <w:t xml:space="preserve">642–1406 </w:t>
      </w:r>
      <w:r>
        <w:rPr>
          <w:rFonts w:ascii="Arial" w:hAnsi="Arial" w:eastAsia="Arial" w:cs="Arial"/>
          <w:color w:val="32373F"/>
        </w:rPr>
        <w:t>ADC</w:t>
      </w:r>
      <w:r>
        <w:rPr>
          <w:rFonts w:ascii="Arial" w:hAnsi="Arial" w:eastAsia="Arial" w:cs="Arial"/>
          <w:color w:val="32373F"/>
          <w:spacing w:val="5"/>
        </w:rPr>
        <w:t xml:space="preserve"> </w:t>
      </w:r>
      <w:r>
        <w:rPr>
          <w:color w:val="32373F"/>
          <w:spacing w:val="5"/>
        </w:rPr>
        <w:t>之间，通道间存在固有的</w:t>
      </w:r>
      <w:r>
        <w:rPr>
          <w:color w:val="32373F"/>
          <w:spacing w:val="4"/>
        </w:rPr>
        <w:t>台基偏置，与主份高增益链</w:t>
      </w:r>
      <w:r>
        <w:rPr>
          <w:color w:val="32373F"/>
          <w:spacing w:val="5"/>
        </w:rPr>
        <w:t xml:space="preserve">路呈现相似的分散特征，属于各通道前端电子学偏置及 </w:t>
      </w:r>
      <w:r>
        <w:rPr>
          <w:rFonts w:ascii="Arial" w:hAnsi="Arial" w:eastAsia="Arial" w:cs="Arial"/>
          <w:color w:val="32373F"/>
        </w:rPr>
        <w:t>ADC</w:t>
      </w:r>
      <w:r>
        <w:rPr>
          <w:rFonts w:ascii="Arial" w:hAnsi="Arial" w:eastAsia="Arial" w:cs="Arial"/>
          <w:color w:val="32373F"/>
          <w:spacing w:val="5"/>
        </w:rPr>
        <w:t xml:space="preserve"> </w:t>
      </w:r>
      <w:r>
        <w:rPr>
          <w:color w:val="32373F"/>
          <w:spacing w:val="4"/>
        </w:rPr>
        <w:t xml:space="preserve">基准差异所致。高斯拟合 </w:t>
      </w:r>
      <w:r>
        <w:rPr>
          <w:rFonts w:ascii="Arial" w:hAnsi="Arial" w:eastAsia="Arial" w:cs="Arial"/>
          <w:color w:val="32373F"/>
          <w:spacing w:val="4"/>
        </w:rPr>
        <w:t xml:space="preserve">σ </w:t>
      </w:r>
      <w:r>
        <w:rPr>
          <w:color w:val="32373F"/>
          <w:spacing w:val="4"/>
        </w:rPr>
        <w:t>值集中在约</w:t>
      </w:r>
    </w:p>
    <w:p w14:paraId="27DF22AC">
      <w:pPr>
        <w:pStyle w:val="2"/>
        <w:spacing w:before="1" w:line="231" w:lineRule="auto"/>
        <w:ind w:left="2" w:right="74" w:firstLine="6"/>
        <w:jc w:val="both"/>
      </w:pPr>
      <w:r>
        <w:rPr>
          <w:rFonts w:ascii="Arial" w:hAnsi="Arial" w:eastAsia="Arial" w:cs="Arial"/>
          <w:color w:val="32373F"/>
          <w:spacing w:val="4"/>
        </w:rPr>
        <w:t xml:space="preserve">3.2–4.0 </w:t>
      </w:r>
      <w:r>
        <w:rPr>
          <w:rFonts w:ascii="Arial" w:hAnsi="Arial" w:eastAsia="Arial" w:cs="Arial"/>
          <w:color w:val="32373F"/>
        </w:rPr>
        <w:t>ADC</w:t>
      </w:r>
      <w:r>
        <w:rPr>
          <w:rFonts w:ascii="Arial" w:hAnsi="Arial" w:eastAsia="Arial" w:cs="Arial"/>
          <w:color w:val="32373F"/>
          <w:spacing w:val="4"/>
        </w:rPr>
        <w:t xml:space="preserve"> </w:t>
      </w:r>
      <w:r>
        <w:rPr>
          <w:color w:val="32373F"/>
          <w:spacing w:val="4"/>
        </w:rPr>
        <w:t>之间，显著低于主份高增</w:t>
      </w:r>
      <w:r>
        <w:rPr>
          <w:color w:val="32373F"/>
          <w:spacing w:val="3"/>
        </w:rPr>
        <w:t xml:space="preserve">益链路的 </w:t>
      </w:r>
      <w:r>
        <w:rPr>
          <w:rFonts w:ascii="Arial" w:hAnsi="Arial" w:eastAsia="Arial" w:cs="Arial"/>
          <w:color w:val="32373F"/>
          <w:spacing w:val="3"/>
        </w:rPr>
        <w:t xml:space="preserve">24–27 </w:t>
      </w:r>
      <w:r>
        <w:rPr>
          <w:rFonts w:ascii="Arial" w:hAnsi="Arial" w:eastAsia="Arial" w:cs="Arial"/>
          <w:color w:val="32373F"/>
        </w:rPr>
        <w:t>ADC</w:t>
      </w:r>
      <w:r>
        <w:rPr>
          <w:color w:val="32373F"/>
          <w:spacing w:val="3"/>
        </w:rPr>
        <w:t>，与两档增益之间约</w:t>
      </w:r>
      <w:r>
        <w:rPr>
          <w:color w:val="32373F"/>
          <w:spacing w:val="34"/>
        </w:rPr>
        <w:t xml:space="preserve"> </w:t>
      </w:r>
      <w:r>
        <w:rPr>
          <w:rFonts w:ascii="Arial" w:hAnsi="Arial" w:eastAsia="Arial" w:cs="Arial"/>
          <w:color w:val="32373F"/>
          <w:spacing w:val="3"/>
        </w:rPr>
        <w:t xml:space="preserve">10 </w:t>
      </w:r>
      <w:r>
        <w:rPr>
          <w:color w:val="32373F"/>
          <w:spacing w:val="3"/>
        </w:rPr>
        <w:t>倍的放大倍数差异</w:t>
      </w:r>
      <w:r>
        <w:rPr>
          <w:color w:val="32373F"/>
          <w:spacing w:val="5"/>
        </w:rPr>
        <w:t>完全一致，折算至相同增益尺度后，低增益链路的等效基线宽度</w:t>
      </w:r>
      <w:r>
        <w:rPr>
          <w:color w:val="32373F"/>
          <w:spacing w:val="4"/>
        </w:rPr>
        <w:t xml:space="preserve">与高增益链路处于同一水平。全部 </w:t>
      </w:r>
      <w:r>
        <w:rPr>
          <w:rFonts w:ascii="Arial" w:hAnsi="Arial" w:eastAsia="Arial" w:cs="Arial"/>
          <w:color w:val="32373F"/>
          <w:spacing w:val="4"/>
        </w:rPr>
        <w:t xml:space="preserve">25 </w:t>
      </w:r>
      <w:r>
        <w:rPr>
          <w:color w:val="32373F"/>
          <w:spacing w:val="4"/>
        </w:rPr>
        <w:t>个</w:t>
      </w:r>
      <w:r>
        <w:rPr>
          <w:color w:val="32373F"/>
          <w:spacing w:val="1"/>
        </w:rPr>
        <w:t>通道均正常读出，未发现失效通道。</w:t>
      </w:r>
    </w:p>
    <w:p w14:paraId="4534590B">
      <w:pPr>
        <w:pStyle w:val="2"/>
        <w:spacing w:before="314" w:line="187" w:lineRule="auto"/>
        <w:ind w:left="4"/>
      </w:pPr>
      <w:r>
        <w:rPr>
          <w:b/>
          <w:bCs/>
          <w:color w:val="32373F"/>
          <w:spacing w:val="5"/>
        </w:rPr>
        <w:t>高斯拟合</w:t>
      </w:r>
      <w:r>
        <w:rPr>
          <w:rFonts w:ascii="Arial" w:hAnsi="Arial" w:eastAsia="Arial" w:cs="Arial"/>
          <w:b/>
          <w:bCs/>
          <w:color w:val="32373F"/>
        </w:rPr>
        <w:t>mean</w:t>
      </w:r>
      <w:r>
        <w:rPr>
          <w:b/>
          <w:bCs/>
          <w:color w:val="32373F"/>
          <w:spacing w:val="5"/>
        </w:rPr>
        <w:t>值时间稳定性</w:t>
      </w:r>
    </w:p>
    <w:p w14:paraId="511213B0">
      <w:pPr>
        <w:spacing w:line="187" w:lineRule="auto"/>
        <w:sectPr>
          <w:pgSz w:w="11919" w:h="16858"/>
          <w:pgMar w:top="400" w:right="783" w:bottom="0" w:left="785" w:header="0" w:footer="0" w:gutter="0"/>
          <w:cols w:space="720" w:num="1"/>
        </w:sectPr>
      </w:pPr>
    </w:p>
    <w:p w14:paraId="1DDF7A49">
      <w:pPr>
        <w:spacing w:before="160" w:line="8865" w:lineRule="exact"/>
      </w:pPr>
      <w:r>
        <w:rPr>
          <w:position w:val="-177"/>
        </w:rPr>
        <w:drawing>
          <wp:inline distT="0" distB="0" distL="0" distR="0">
            <wp:extent cx="6572250" cy="5629275"/>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32"/>
                    <a:stretch>
                      <a:fillRect/>
                    </a:stretch>
                  </pic:blipFill>
                  <pic:spPr>
                    <a:xfrm>
                      <a:off x="0" y="0"/>
                      <a:ext cx="6572250" cy="5629275"/>
                    </a:xfrm>
                    <a:prstGeom prst="rect">
                      <a:avLst/>
                    </a:prstGeom>
                  </pic:spPr>
                </pic:pic>
              </a:graphicData>
            </a:graphic>
          </wp:inline>
        </w:drawing>
      </w:r>
    </w:p>
    <w:p w14:paraId="352A4934">
      <w:pPr>
        <w:pStyle w:val="2"/>
        <w:spacing w:before="320" w:line="239" w:lineRule="auto"/>
        <w:ind w:left="3" w:right="36"/>
      </w:pPr>
      <w:r>
        <w:rPr>
          <w:color w:val="32373F"/>
          <w:spacing w:val="2"/>
        </w:rPr>
        <w:t xml:space="preserve">该图展示了 </w:t>
      </w:r>
      <w:r>
        <w:rPr>
          <w:rFonts w:ascii="Arial" w:hAnsi="Arial" w:eastAsia="Arial" w:cs="Arial"/>
          <w:color w:val="32373F"/>
          <w:spacing w:val="2"/>
        </w:rPr>
        <w:t xml:space="preserve">3 </w:t>
      </w:r>
      <w:r>
        <w:rPr>
          <w:color w:val="32373F"/>
          <w:spacing w:val="2"/>
        </w:rPr>
        <w:t>月</w:t>
      </w:r>
      <w:r>
        <w:rPr>
          <w:color w:val="32373F"/>
          <w:spacing w:val="39"/>
        </w:rPr>
        <w:t xml:space="preserve"> </w:t>
      </w:r>
      <w:r>
        <w:rPr>
          <w:rFonts w:ascii="Arial" w:hAnsi="Arial" w:eastAsia="Arial" w:cs="Arial"/>
          <w:color w:val="32373F"/>
          <w:spacing w:val="2"/>
        </w:rPr>
        <w:t>16</w:t>
      </w:r>
      <w:r>
        <w:rPr>
          <w:rFonts w:ascii="Arial" w:hAnsi="Arial" w:eastAsia="Arial" w:cs="Arial"/>
          <w:color w:val="32373F"/>
          <w:spacing w:val="36"/>
        </w:rPr>
        <w:t xml:space="preserve"> </w:t>
      </w:r>
      <w:r>
        <w:rPr>
          <w:color w:val="32373F"/>
          <w:spacing w:val="2"/>
        </w:rPr>
        <w:t xml:space="preserve">日至 </w:t>
      </w:r>
      <w:r>
        <w:rPr>
          <w:rFonts w:ascii="Arial" w:hAnsi="Arial" w:eastAsia="Arial" w:cs="Arial"/>
          <w:color w:val="32373F"/>
          <w:spacing w:val="2"/>
        </w:rPr>
        <w:t>23</w:t>
      </w:r>
      <w:r>
        <w:rPr>
          <w:rFonts w:ascii="Arial" w:hAnsi="Arial" w:eastAsia="Arial" w:cs="Arial"/>
          <w:color w:val="32373F"/>
          <w:spacing w:val="36"/>
        </w:rPr>
        <w:t xml:space="preserve"> </w:t>
      </w:r>
      <w:r>
        <w:rPr>
          <w:color w:val="32373F"/>
          <w:spacing w:val="2"/>
        </w:rPr>
        <w:t>日完整热循环期间，</w:t>
      </w:r>
      <w:r>
        <w:rPr>
          <w:rFonts w:ascii="Arial" w:hAnsi="Arial" w:eastAsia="Arial" w:cs="Arial"/>
          <w:color w:val="32373F"/>
          <w:spacing w:val="2"/>
        </w:rPr>
        <w:t xml:space="preserve">25 </w:t>
      </w:r>
      <w:r>
        <w:rPr>
          <w:color w:val="32373F"/>
          <w:spacing w:val="2"/>
        </w:rPr>
        <w:t>个晶体单元主份低增益台基均值（蓝色点，左轴）及其相对波动量（红色线，右轴）的时间演化。</w:t>
      </w:r>
    </w:p>
    <w:p w14:paraId="547F44C6">
      <w:pPr>
        <w:pStyle w:val="2"/>
        <w:spacing w:before="312" w:line="222" w:lineRule="auto"/>
        <w:ind w:firstLine="6"/>
      </w:pPr>
      <w:r>
        <w:rPr>
          <w:b/>
          <w:bCs/>
          <w:color w:val="32373F"/>
          <w:spacing w:val="3"/>
        </w:rPr>
        <w:t>台基均值（蓝色</w:t>
      </w:r>
      <w:r>
        <w:rPr>
          <w:b/>
          <w:bCs/>
          <w:color w:val="32373F"/>
          <w:spacing w:val="4"/>
        </w:rPr>
        <w:t>）</w:t>
      </w:r>
      <w:r>
        <w:rPr>
          <w:b/>
          <w:bCs/>
          <w:color w:val="32373F"/>
          <w:spacing w:val="11"/>
        </w:rPr>
        <w:t xml:space="preserve"> </w:t>
      </w:r>
      <w:r>
        <w:rPr>
          <w:color w:val="32373F"/>
          <w:spacing w:val="4"/>
        </w:rPr>
        <w:t>：</w:t>
      </w:r>
      <w:r>
        <w:rPr>
          <w:color w:val="32373F"/>
          <w:spacing w:val="3"/>
        </w:rPr>
        <w:t>各晶体通道的台基均值随时间呈现出与热循环温度剖面高度同步的周期性振荡，振荡</w:t>
      </w:r>
      <w:r>
        <w:rPr>
          <w:color w:val="32373F"/>
          <w:spacing w:val="5"/>
        </w:rPr>
        <w:t xml:space="preserve">幅度约为 </w:t>
      </w:r>
      <w:r>
        <w:rPr>
          <w:rFonts w:ascii="Arial" w:hAnsi="Arial" w:eastAsia="Arial" w:cs="Arial"/>
          <w:color w:val="32373F"/>
          <w:spacing w:val="5"/>
        </w:rPr>
        <w:t xml:space="preserve">±30–80 </w:t>
      </w:r>
      <w:r>
        <w:rPr>
          <w:rFonts w:ascii="Arial" w:hAnsi="Arial" w:eastAsia="Arial" w:cs="Arial"/>
          <w:color w:val="32373F"/>
        </w:rPr>
        <w:t>ADC</w:t>
      </w:r>
      <w:r>
        <w:rPr>
          <w:color w:val="32373F"/>
          <w:spacing w:val="5"/>
        </w:rPr>
        <w:t>，与主份高增益链路的温度相关性响应规律一</w:t>
      </w:r>
      <w:r>
        <w:rPr>
          <w:color w:val="32373F"/>
          <w:spacing w:val="4"/>
        </w:rPr>
        <w:t>致。在每个完整的温度循环中，各通</w:t>
      </w:r>
      <w:r>
        <w:rPr>
          <w:color w:val="32373F"/>
          <w:spacing w:val="5"/>
        </w:rPr>
        <w:t>道 台基均值均能可重复地回归至接近初始水平，不存在系统性单向漂移，说明低</w:t>
      </w:r>
      <w:r>
        <w:rPr>
          <w:color w:val="32373F"/>
          <w:spacing w:val="4"/>
        </w:rPr>
        <w:t>增益链路台基的温度响</w:t>
      </w:r>
      <w:r>
        <w:rPr>
          <w:color w:val="32373F"/>
          <w:spacing w:val="3"/>
        </w:rPr>
        <w:t>应具有良好的可逆性。需要注意的是，</w:t>
      </w:r>
      <w:r>
        <w:rPr>
          <w:color w:val="32373F"/>
          <w:spacing w:val="28"/>
        </w:rPr>
        <w:t xml:space="preserve"> </w:t>
      </w:r>
      <w:r>
        <w:rPr>
          <w:rFonts w:ascii="Arial" w:hAnsi="Arial" w:eastAsia="Arial" w:cs="Arial"/>
          <w:b/>
          <w:bCs/>
          <w:color w:val="32373F"/>
        </w:rPr>
        <w:t>crystal</w:t>
      </w:r>
      <w:r>
        <w:rPr>
          <w:rFonts w:ascii="Arial" w:hAnsi="Arial" w:eastAsia="Arial" w:cs="Arial"/>
          <w:b/>
          <w:bCs/>
          <w:color w:val="32373F"/>
          <w:spacing w:val="19"/>
        </w:rPr>
        <w:t xml:space="preserve"> </w:t>
      </w:r>
      <w:r>
        <w:rPr>
          <w:rFonts w:ascii="Arial" w:hAnsi="Arial" w:eastAsia="Arial" w:cs="Arial"/>
          <w:b/>
          <w:bCs/>
          <w:color w:val="32373F"/>
          <w:spacing w:val="3"/>
        </w:rPr>
        <w:t xml:space="preserve">11 </w:t>
      </w:r>
      <w:r>
        <w:rPr>
          <w:color w:val="32373F"/>
          <w:spacing w:val="3"/>
        </w:rPr>
        <w:t xml:space="preserve">在约 </w:t>
      </w:r>
      <w:r>
        <w:rPr>
          <w:rFonts w:ascii="Arial" w:hAnsi="Arial" w:eastAsia="Arial" w:cs="Arial"/>
          <w:color w:val="32373F"/>
          <w:spacing w:val="3"/>
        </w:rPr>
        <w:t xml:space="preserve">3 </w:t>
      </w:r>
      <w:r>
        <w:rPr>
          <w:color w:val="32373F"/>
          <w:spacing w:val="3"/>
        </w:rPr>
        <w:t>月</w:t>
      </w:r>
      <w:r>
        <w:rPr>
          <w:rFonts w:ascii="Arial" w:hAnsi="Arial" w:eastAsia="Arial" w:cs="Arial"/>
          <w:color w:val="32373F"/>
          <w:spacing w:val="3"/>
        </w:rPr>
        <w:t>20</w:t>
      </w:r>
      <w:r>
        <w:rPr>
          <w:rFonts w:ascii="Arial" w:hAnsi="Arial" w:eastAsia="Arial" w:cs="Arial"/>
          <w:color w:val="32373F"/>
          <w:spacing w:val="36"/>
        </w:rPr>
        <w:t xml:space="preserve"> </w:t>
      </w:r>
      <w:r>
        <w:rPr>
          <w:color w:val="32373F"/>
          <w:spacing w:val="2"/>
        </w:rPr>
        <w:t>日附近出现了一个明显的短时尖峰异常</w:t>
      </w:r>
    </w:p>
    <w:p w14:paraId="4FABD7C4">
      <w:pPr>
        <w:pStyle w:val="2"/>
        <w:spacing w:line="239" w:lineRule="auto"/>
        <w:ind w:right="87" w:firstLine="35"/>
      </w:pPr>
      <w:r>
        <w:rPr>
          <w:color w:val="32373F"/>
          <w:spacing w:val="4"/>
        </w:rPr>
        <w:t>（蓝色点跳升至约</w:t>
      </w:r>
      <w:r>
        <w:rPr>
          <w:color w:val="32373F"/>
          <w:spacing w:val="19"/>
        </w:rPr>
        <w:t xml:space="preserve"> </w:t>
      </w:r>
      <w:r>
        <w:rPr>
          <w:rFonts w:ascii="Arial" w:hAnsi="Arial" w:eastAsia="Arial" w:cs="Arial"/>
          <w:color w:val="32373F"/>
          <w:spacing w:val="4"/>
        </w:rPr>
        <w:t xml:space="preserve">880 </w:t>
      </w:r>
      <w:r>
        <w:rPr>
          <w:rFonts w:ascii="Arial" w:hAnsi="Arial" w:eastAsia="Arial" w:cs="Arial"/>
          <w:color w:val="32373F"/>
        </w:rPr>
        <w:t>ADC</w:t>
      </w:r>
      <w:r>
        <w:rPr>
          <w:rFonts w:ascii="Arial" w:hAnsi="Arial" w:eastAsia="Arial" w:cs="Arial"/>
          <w:color w:val="32373F"/>
          <w:spacing w:val="4"/>
        </w:rPr>
        <w:t xml:space="preserve"> </w:t>
      </w:r>
      <w:r>
        <w:rPr>
          <w:color w:val="32373F"/>
          <w:spacing w:val="4"/>
        </w:rPr>
        <w:t>后迅速恢复</w:t>
      </w:r>
      <w:r>
        <w:rPr>
          <w:color w:val="32373F"/>
          <w:spacing w:val="5"/>
        </w:rPr>
        <w:t>），</w:t>
      </w:r>
      <w:r>
        <w:rPr>
          <w:color w:val="32373F"/>
          <w:spacing w:val="4"/>
        </w:rPr>
        <w:t>与其他通道及其</w:t>
      </w:r>
      <w:r>
        <w:rPr>
          <w:color w:val="32373F"/>
          <w:spacing w:val="3"/>
        </w:rPr>
        <w:t>他时间点的行为明显偏离，实际为峰位过窄</w:t>
      </w:r>
      <w:r>
        <w:rPr>
          <w:color w:val="32373F"/>
          <w:spacing w:val="2"/>
        </w:rPr>
        <w:t>加拟合原因，不影响整体趋势判断。</w:t>
      </w:r>
    </w:p>
    <w:p w14:paraId="6AAD6711">
      <w:pPr>
        <w:pStyle w:val="2"/>
        <w:spacing w:before="283" w:line="239" w:lineRule="auto"/>
        <w:ind w:left="4" w:right="113" w:hanging="2"/>
      </w:pPr>
      <w:r>
        <w:rPr>
          <w:b/>
          <w:bCs/>
          <w:color w:val="32373F"/>
          <w:spacing w:val="3"/>
        </w:rPr>
        <w:t>相对波动量（红色</w:t>
      </w:r>
      <w:r>
        <w:rPr>
          <w:b/>
          <w:bCs/>
          <w:color w:val="32373F"/>
          <w:spacing w:val="1"/>
        </w:rPr>
        <w:t>）</w:t>
      </w:r>
      <w:r>
        <w:rPr>
          <w:b/>
          <w:bCs/>
          <w:color w:val="32373F"/>
          <w:spacing w:val="20"/>
        </w:rPr>
        <w:t xml:space="preserve"> </w:t>
      </w:r>
      <w:r>
        <w:rPr>
          <w:color w:val="32373F"/>
          <w:spacing w:val="1"/>
        </w:rPr>
        <w:t>：</w:t>
      </w:r>
      <w:r>
        <w:rPr>
          <w:color w:val="32373F"/>
          <w:spacing w:val="3"/>
        </w:rPr>
        <w:t xml:space="preserve">绝大多数通道的相对波动幅度均控制在 </w:t>
      </w:r>
      <w:r>
        <w:rPr>
          <w:rFonts w:ascii="Arial" w:hAnsi="Arial" w:eastAsia="Arial" w:cs="Arial"/>
          <w:color w:val="32373F"/>
          <w:spacing w:val="3"/>
        </w:rPr>
        <w:t xml:space="preserve">±0.2 </w:t>
      </w:r>
      <w:r>
        <w:rPr>
          <w:color w:val="32373F"/>
          <w:spacing w:val="3"/>
        </w:rPr>
        <w:t>以内，周期性波</w:t>
      </w:r>
      <w:r>
        <w:rPr>
          <w:color w:val="32373F"/>
          <w:spacing w:val="2"/>
        </w:rPr>
        <w:t>动规律清晰，与温度</w:t>
      </w:r>
      <w:r>
        <w:rPr>
          <w:color w:val="32373F"/>
          <w:spacing w:val="1"/>
        </w:rPr>
        <w:t>剖面吻合，未出现无规律的异常突变。</w:t>
      </w:r>
    </w:p>
    <w:p w14:paraId="6DF09718">
      <w:pPr>
        <w:pStyle w:val="2"/>
        <w:spacing w:before="294" w:line="187" w:lineRule="auto"/>
        <w:ind w:left="4"/>
      </w:pPr>
      <w:r>
        <w:rPr>
          <w:b/>
          <w:bCs/>
          <w:color w:val="32373F"/>
          <w:spacing w:val="4"/>
        </w:rPr>
        <w:t>高斯拟合</w:t>
      </w:r>
      <w:r>
        <w:rPr>
          <w:rFonts w:ascii="Arial" w:hAnsi="Arial" w:eastAsia="Arial" w:cs="Arial"/>
          <w:b/>
          <w:bCs/>
          <w:color w:val="32373F"/>
          <w:spacing w:val="4"/>
        </w:rPr>
        <w:t>σ</w:t>
      </w:r>
      <w:r>
        <w:rPr>
          <w:b/>
          <w:bCs/>
          <w:color w:val="32373F"/>
          <w:spacing w:val="4"/>
        </w:rPr>
        <w:t>值时间稳定性</w:t>
      </w:r>
    </w:p>
    <w:p w14:paraId="432DDD07">
      <w:pPr>
        <w:spacing w:line="187" w:lineRule="auto"/>
        <w:sectPr>
          <w:pgSz w:w="11919" w:h="16858"/>
          <w:pgMar w:top="400" w:right="783" w:bottom="0" w:left="785" w:header="0" w:footer="0" w:gutter="0"/>
          <w:cols w:space="720" w:num="1"/>
        </w:sectPr>
      </w:pPr>
    </w:p>
    <w:p w14:paraId="769DAC94">
      <w:pPr>
        <w:spacing w:before="160" w:line="6255" w:lineRule="exact"/>
      </w:pPr>
      <w:r>
        <w:rPr>
          <w:position w:val="-125"/>
        </w:rPr>
        <w:drawing>
          <wp:inline distT="0" distB="0" distL="0" distR="0">
            <wp:extent cx="6572250" cy="3971925"/>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33"/>
                    <a:stretch>
                      <a:fillRect/>
                    </a:stretch>
                  </pic:blipFill>
                  <pic:spPr>
                    <a:xfrm>
                      <a:off x="0" y="0"/>
                      <a:ext cx="6572250" cy="3971925"/>
                    </a:xfrm>
                    <a:prstGeom prst="rect">
                      <a:avLst/>
                    </a:prstGeom>
                  </pic:spPr>
                </pic:pic>
              </a:graphicData>
            </a:graphic>
          </wp:inline>
        </w:drawing>
      </w:r>
    </w:p>
    <w:p w14:paraId="10BAA1F1">
      <w:pPr>
        <w:pStyle w:val="2"/>
        <w:spacing w:before="320" w:line="235" w:lineRule="auto"/>
        <w:ind w:left="3" w:right="54"/>
      </w:pPr>
      <w:r>
        <w:rPr>
          <w:color w:val="32373F"/>
          <w:spacing w:val="1"/>
        </w:rPr>
        <w:t xml:space="preserve">该图以中心 </w:t>
      </w:r>
      <w:r>
        <w:rPr>
          <w:rFonts w:ascii="Arial" w:hAnsi="Arial" w:eastAsia="Arial" w:cs="Arial"/>
          <w:color w:val="32373F"/>
          <w:spacing w:val="1"/>
        </w:rPr>
        <w:t>3×3</w:t>
      </w:r>
      <w:r>
        <w:rPr>
          <w:rFonts w:ascii="Arial" w:hAnsi="Arial" w:eastAsia="Arial" w:cs="Arial"/>
          <w:color w:val="32373F"/>
          <w:spacing w:val="17"/>
        </w:rPr>
        <w:t xml:space="preserve"> </w:t>
      </w:r>
      <w:r>
        <w:rPr>
          <w:color w:val="32373F"/>
          <w:spacing w:val="1"/>
        </w:rPr>
        <w:t>晶体阵列（</w:t>
      </w:r>
      <w:r>
        <w:rPr>
          <w:rFonts w:ascii="Arial" w:hAnsi="Arial" w:eastAsia="Arial" w:cs="Arial"/>
          <w:color w:val="32373F"/>
        </w:rPr>
        <w:t>crystal</w:t>
      </w:r>
      <w:r>
        <w:rPr>
          <w:rFonts w:ascii="Arial" w:hAnsi="Arial" w:eastAsia="Arial" w:cs="Arial"/>
          <w:color w:val="32373F"/>
          <w:spacing w:val="1"/>
        </w:rPr>
        <w:t xml:space="preserve"> 7</w:t>
      </w:r>
      <w:r>
        <w:rPr>
          <w:color w:val="32373F"/>
          <w:spacing w:val="1"/>
        </w:rPr>
        <w:t>、</w:t>
      </w:r>
      <w:r>
        <w:rPr>
          <w:rFonts w:ascii="Arial" w:hAnsi="Arial" w:eastAsia="Arial" w:cs="Arial"/>
          <w:color w:val="32373F"/>
          <w:spacing w:val="1"/>
        </w:rPr>
        <w:t>8</w:t>
      </w:r>
      <w:r>
        <w:rPr>
          <w:color w:val="32373F"/>
          <w:spacing w:val="1"/>
        </w:rPr>
        <w:t>、</w:t>
      </w:r>
      <w:r>
        <w:rPr>
          <w:rFonts w:ascii="Arial" w:hAnsi="Arial" w:eastAsia="Arial" w:cs="Arial"/>
          <w:color w:val="32373F"/>
          <w:spacing w:val="1"/>
        </w:rPr>
        <w:t>9</w:t>
      </w:r>
      <w:r>
        <w:rPr>
          <w:color w:val="32373F"/>
          <w:spacing w:val="1"/>
        </w:rPr>
        <w:t>、</w:t>
      </w:r>
      <w:r>
        <w:rPr>
          <w:color w:val="32373F"/>
          <w:spacing w:val="-36"/>
        </w:rPr>
        <w:t xml:space="preserve"> </w:t>
      </w:r>
      <w:r>
        <w:rPr>
          <w:rFonts w:ascii="Arial" w:hAnsi="Arial" w:eastAsia="Arial" w:cs="Arial"/>
          <w:color w:val="32373F"/>
          <w:spacing w:val="1"/>
        </w:rPr>
        <w:t>12</w:t>
      </w:r>
      <w:r>
        <w:rPr>
          <w:color w:val="32373F"/>
          <w:spacing w:val="1"/>
        </w:rPr>
        <w:t>、</w:t>
      </w:r>
      <w:r>
        <w:rPr>
          <w:color w:val="32373F"/>
          <w:spacing w:val="-36"/>
        </w:rPr>
        <w:t xml:space="preserve"> </w:t>
      </w:r>
      <w:r>
        <w:rPr>
          <w:rFonts w:ascii="Arial" w:hAnsi="Arial" w:eastAsia="Arial" w:cs="Arial"/>
          <w:color w:val="32373F"/>
          <w:spacing w:val="1"/>
        </w:rPr>
        <w:t>1</w:t>
      </w:r>
      <w:r>
        <w:rPr>
          <w:rFonts w:ascii="Arial" w:hAnsi="Arial" w:eastAsia="Arial" w:cs="Arial"/>
          <w:color w:val="32373F"/>
        </w:rPr>
        <w:t>3</w:t>
      </w:r>
      <w:r>
        <w:rPr>
          <w:color w:val="32373F"/>
        </w:rPr>
        <w:t>、</w:t>
      </w:r>
      <w:r>
        <w:rPr>
          <w:color w:val="32373F"/>
          <w:spacing w:val="-35"/>
        </w:rPr>
        <w:t xml:space="preserve"> </w:t>
      </w:r>
      <w:r>
        <w:rPr>
          <w:rFonts w:ascii="Arial" w:hAnsi="Arial" w:eastAsia="Arial" w:cs="Arial"/>
          <w:color w:val="32373F"/>
        </w:rPr>
        <w:t>14</w:t>
      </w:r>
      <w:r>
        <w:rPr>
          <w:color w:val="32373F"/>
        </w:rPr>
        <w:t>、</w:t>
      </w:r>
      <w:r>
        <w:rPr>
          <w:color w:val="32373F"/>
          <w:spacing w:val="-36"/>
        </w:rPr>
        <w:t xml:space="preserve"> </w:t>
      </w:r>
      <w:r>
        <w:rPr>
          <w:rFonts w:ascii="Arial" w:hAnsi="Arial" w:eastAsia="Arial" w:cs="Arial"/>
          <w:color w:val="32373F"/>
        </w:rPr>
        <w:t>17</w:t>
      </w:r>
      <w:r>
        <w:rPr>
          <w:color w:val="32373F"/>
        </w:rPr>
        <w:t>、</w:t>
      </w:r>
      <w:r>
        <w:rPr>
          <w:color w:val="32373F"/>
          <w:spacing w:val="-35"/>
        </w:rPr>
        <w:t xml:space="preserve"> </w:t>
      </w:r>
      <w:r>
        <w:rPr>
          <w:rFonts w:ascii="Arial" w:hAnsi="Arial" w:eastAsia="Arial" w:cs="Arial"/>
          <w:color w:val="32373F"/>
        </w:rPr>
        <w:t>18</w:t>
      </w:r>
      <w:r>
        <w:rPr>
          <w:color w:val="32373F"/>
        </w:rPr>
        <w:t>、</w:t>
      </w:r>
      <w:r>
        <w:rPr>
          <w:color w:val="32373F"/>
          <w:spacing w:val="-36"/>
        </w:rPr>
        <w:t xml:space="preserve"> </w:t>
      </w:r>
      <w:r>
        <w:rPr>
          <w:rFonts w:ascii="Arial" w:hAnsi="Arial" w:eastAsia="Arial" w:cs="Arial"/>
          <w:color w:val="32373F"/>
        </w:rPr>
        <w:t>19</w:t>
      </w:r>
      <w:r>
        <w:rPr>
          <w:color w:val="32373F"/>
        </w:rPr>
        <w:t>）为代表，展示了主份低增益台</w:t>
      </w:r>
      <w:r>
        <w:rPr>
          <w:color w:val="32373F"/>
          <w:spacing w:val="-1"/>
        </w:rPr>
        <w:t xml:space="preserve">基高斯拟合 </w:t>
      </w:r>
      <w:r>
        <w:rPr>
          <w:rFonts w:ascii="Arial" w:hAnsi="Arial" w:eastAsia="Arial" w:cs="Arial"/>
          <w:color w:val="32373F"/>
          <w:spacing w:val="-1"/>
        </w:rPr>
        <w:t xml:space="preserve">σ </w:t>
      </w:r>
      <w:r>
        <w:rPr>
          <w:color w:val="32373F"/>
          <w:spacing w:val="-1"/>
        </w:rPr>
        <w:t xml:space="preserve">值在 </w:t>
      </w:r>
      <w:r>
        <w:rPr>
          <w:rFonts w:ascii="Arial" w:hAnsi="Arial" w:eastAsia="Arial" w:cs="Arial"/>
          <w:color w:val="32373F"/>
          <w:spacing w:val="-1"/>
        </w:rPr>
        <w:t xml:space="preserve">3 </w:t>
      </w:r>
      <w:r>
        <w:rPr>
          <w:color w:val="32373F"/>
          <w:spacing w:val="-1"/>
        </w:rPr>
        <w:t>月</w:t>
      </w:r>
      <w:r>
        <w:rPr>
          <w:color w:val="32373F"/>
          <w:spacing w:val="22"/>
          <w:w w:val="101"/>
        </w:rPr>
        <w:t xml:space="preserve"> </w:t>
      </w:r>
      <w:r>
        <w:rPr>
          <w:rFonts w:ascii="Arial" w:hAnsi="Arial" w:eastAsia="Arial" w:cs="Arial"/>
          <w:color w:val="32373F"/>
          <w:spacing w:val="-1"/>
        </w:rPr>
        <w:t>16</w:t>
      </w:r>
      <w:r>
        <w:rPr>
          <w:rFonts w:ascii="Arial" w:hAnsi="Arial" w:eastAsia="Arial" w:cs="Arial"/>
          <w:color w:val="32373F"/>
          <w:spacing w:val="35"/>
          <w:w w:val="101"/>
        </w:rPr>
        <w:t xml:space="preserve"> </w:t>
      </w:r>
      <w:r>
        <w:rPr>
          <w:color w:val="32373F"/>
          <w:spacing w:val="-1"/>
        </w:rPr>
        <w:t xml:space="preserve">日至 </w:t>
      </w:r>
      <w:r>
        <w:rPr>
          <w:rFonts w:ascii="Arial" w:hAnsi="Arial" w:eastAsia="Arial" w:cs="Arial"/>
          <w:color w:val="32373F"/>
          <w:spacing w:val="-1"/>
        </w:rPr>
        <w:t>23</w:t>
      </w:r>
      <w:r>
        <w:rPr>
          <w:rFonts w:ascii="Arial" w:hAnsi="Arial" w:eastAsia="Arial" w:cs="Arial"/>
          <w:color w:val="32373F"/>
          <w:spacing w:val="36"/>
        </w:rPr>
        <w:t xml:space="preserve"> </w:t>
      </w:r>
      <w:r>
        <w:rPr>
          <w:color w:val="32373F"/>
          <w:spacing w:val="-1"/>
        </w:rPr>
        <w:t>日期间的时间</w:t>
      </w:r>
      <w:r>
        <w:rPr>
          <w:color w:val="32373F"/>
          <w:spacing w:val="-2"/>
        </w:rPr>
        <w:t>演化。</w:t>
      </w:r>
    </w:p>
    <w:p w14:paraId="29B19A15">
      <w:pPr>
        <w:pStyle w:val="2"/>
        <w:spacing w:before="280" w:line="229" w:lineRule="auto"/>
        <w:ind w:left="8"/>
      </w:pPr>
      <w:r>
        <w:rPr>
          <w:rFonts w:ascii="Arial" w:hAnsi="Arial" w:eastAsia="Arial" w:cs="Arial"/>
          <w:b/>
          <w:bCs/>
          <w:color w:val="32373F"/>
          <w:spacing w:val="3"/>
        </w:rPr>
        <w:t xml:space="preserve">σ </w:t>
      </w:r>
      <w:r>
        <w:rPr>
          <w:b/>
          <w:bCs/>
          <w:color w:val="32373F"/>
          <w:spacing w:val="3"/>
        </w:rPr>
        <w:t>值</w:t>
      </w:r>
      <w:r>
        <w:rPr>
          <w:b/>
          <w:bCs/>
          <w:color w:val="32373F"/>
          <w:spacing w:val="-18"/>
        </w:rPr>
        <w:t xml:space="preserve"> </w:t>
      </w:r>
      <w:r>
        <w:rPr>
          <w:color w:val="32373F"/>
          <w:spacing w:val="3"/>
        </w:rPr>
        <w:t>：</w:t>
      </w:r>
      <w:r>
        <w:rPr>
          <w:rFonts w:ascii="Arial" w:hAnsi="Arial" w:eastAsia="Arial" w:cs="Arial"/>
          <w:color w:val="32373F"/>
          <w:spacing w:val="3"/>
        </w:rPr>
        <w:t xml:space="preserve">9 </w:t>
      </w:r>
      <w:r>
        <w:rPr>
          <w:color w:val="32373F"/>
          <w:spacing w:val="3"/>
        </w:rPr>
        <w:t xml:space="preserve">个中心晶体的 </w:t>
      </w:r>
      <w:r>
        <w:rPr>
          <w:rFonts w:ascii="Arial" w:hAnsi="Arial" w:eastAsia="Arial" w:cs="Arial"/>
          <w:color w:val="32373F"/>
          <w:spacing w:val="3"/>
        </w:rPr>
        <w:t xml:space="preserve">σ </w:t>
      </w:r>
      <w:r>
        <w:rPr>
          <w:color w:val="32373F"/>
          <w:spacing w:val="3"/>
        </w:rPr>
        <w:t xml:space="preserve">在整个热循环周期内均稳定在约 </w:t>
      </w:r>
      <w:r>
        <w:rPr>
          <w:rFonts w:ascii="Arial" w:hAnsi="Arial" w:eastAsia="Arial" w:cs="Arial"/>
          <w:color w:val="32373F"/>
          <w:spacing w:val="3"/>
        </w:rPr>
        <w:t xml:space="preserve">3.0–4.0 </w:t>
      </w:r>
      <w:r>
        <w:rPr>
          <w:rFonts w:ascii="Arial" w:hAnsi="Arial" w:eastAsia="Arial" w:cs="Arial"/>
          <w:color w:val="32373F"/>
        </w:rPr>
        <w:t>ADC</w:t>
      </w:r>
      <w:r>
        <w:rPr>
          <w:rFonts w:ascii="Arial" w:hAnsi="Arial" w:eastAsia="Arial" w:cs="Arial"/>
          <w:color w:val="32373F"/>
          <w:spacing w:val="3"/>
        </w:rPr>
        <w:t xml:space="preserve"> </w:t>
      </w:r>
      <w:r>
        <w:rPr>
          <w:color w:val="32373F"/>
          <w:spacing w:val="3"/>
        </w:rPr>
        <w:t>范围内，与单次分布拟合结果</w:t>
      </w:r>
    </w:p>
    <w:p w14:paraId="449D7FD3">
      <w:pPr>
        <w:pStyle w:val="2"/>
        <w:spacing w:line="239" w:lineRule="auto"/>
        <w:ind w:left="2" w:right="61" w:firstLine="34"/>
      </w:pPr>
      <w:r>
        <w:rPr>
          <w:color w:val="32373F"/>
          <w:spacing w:val="4"/>
        </w:rPr>
        <w:t>（</w:t>
      </w:r>
      <w:r>
        <w:rPr>
          <w:rFonts w:ascii="Arial" w:hAnsi="Arial" w:eastAsia="Arial" w:cs="Arial"/>
          <w:color w:val="32373F"/>
          <w:spacing w:val="4"/>
        </w:rPr>
        <w:t xml:space="preserve">3.2–4.0 </w:t>
      </w:r>
      <w:r>
        <w:rPr>
          <w:rFonts w:ascii="Arial" w:hAnsi="Arial" w:eastAsia="Arial" w:cs="Arial"/>
          <w:color w:val="32373F"/>
        </w:rPr>
        <w:t>ADC</w:t>
      </w:r>
      <w:r>
        <w:rPr>
          <w:color w:val="32373F"/>
          <w:spacing w:val="4"/>
        </w:rPr>
        <w:t>）完全一致。各通道曲线随时间呈现一定的随机散布，但无系统性趋势性抬升或下降</w:t>
      </w:r>
      <w:r>
        <w:rPr>
          <w:color w:val="32373F"/>
          <w:spacing w:val="3"/>
        </w:rPr>
        <w:t>，整</w:t>
      </w:r>
      <w:r>
        <w:rPr>
          <w:color w:val="32373F"/>
          <w:spacing w:val="1"/>
        </w:rPr>
        <w:t>体维持在窄带范围内波动。</w:t>
      </w:r>
    </w:p>
    <w:p w14:paraId="58B64BB2">
      <w:pPr>
        <w:pStyle w:val="2"/>
        <w:spacing w:before="266" w:line="239" w:lineRule="auto"/>
        <w:ind w:left="5" w:right="176" w:hanging="2"/>
      </w:pPr>
      <w:r>
        <w:rPr>
          <w:b/>
          <w:bCs/>
          <w:color w:val="32373F"/>
          <w:spacing w:val="3"/>
        </w:rPr>
        <w:t>通道一致性</w:t>
      </w:r>
      <w:r>
        <w:rPr>
          <w:b/>
          <w:bCs/>
          <w:color w:val="32373F"/>
          <w:spacing w:val="-18"/>
        </w:rPr>
        <w:t xml:space="preserve"> </w:t>
      </w:r>
      <w:r>
        <w:rPr>
          <w:color w:val="32373F"/>
          <w:spacing w:val="3"/>
        </w:rPr>
        <w:t>：</w:t>
      </w:r>
      <w:r>
        <w:rPr>
          <w:rFonts w:ascii="Arial" w:hAnsi="Arial" w:eastAsia="Arial" w:cs="Arial"/>
          <w:color w:val="32373F"/>
          <w:spacing w:val="3"/>
        </w:rPr>
        <w:t xml:space="preserve">9 </w:t>
      </w:r>
      <w:r>
        <w:rPr>
          <w:color w:val="32373F"/>
          <w:spacing w:val="3"/>
        </w:rPr>
        <w:t xml:space="preserve">条曲线相互交织，通道间 </w:t>
      </w:r>
      <w:r>
        <w:rPr>
          <w:rFonts w:ascii="Arial" w:hAnsi="Arial" w:eastAsia="Arial" w:cs="Arial"/>
          <w:color w:val="32373F"/>
          <w:spacing w:val="3"/>
        </w:rPr>
        <w:t xml:space="preserve">σ </w:t>
      </w:r>
      <w:r>
        <w:rPr>
          <w:color w:val="32373F"/>
          <w:spacing w:val="3"/>
        </w:rPr>
        <w:t>差异小于</w:t>
      </w:r>
      <w:r>
        <w:rPr>
          <w:color w:val="32373F"/>
          <w:spacing w:val="22"/>
        </w:rPr>
        <w:t xml:space="preserve"> </w:t>
      </w:r>
      <w:r>
        <w:rPr>
          <w:rFonts w:ascii="Arial" w:hAnsi="Arial" w:eastAsia="Arial" w:cs="Arial"/>
          <w:color w:val="32373F"/>
          <w:spacing w:val="3"/>
        </w:rPr>
        <w:t xml:space="preserve">1 </w:t>
      </w:r>
      <w:r>
        <w:rPr>
          <w:rFonts w:ascii="Arial" w:hAnsi="Arial" w:eastAsia="Arial" w:cs="Arial"/>
          <w:color w:val="32373F"/>
        </w:rPr>
        <w:t>ADC</w:t>
      </w:r>
      <w:r>
        <w:rPr>
          <w:color w:val="32373F"/>
          <w:spacing w:val="3"/>
        </w:rPr>
        <w:t>，表明中心区域各晶体的低增益读出噪声水</w:t>
      </w:r>
      <w:r>
        <w:rPr>
          <w:color w:val="32373F"/>
          <w:spacing w:val="1"/>
        </w:rPr>
        <w:t>平高度一致，无异常宽噪声通道。</w:t>
      </w:r>
    </w:p>
    <w:p w14:paraId="5D1E8F26">
      <w:pPr>
        <w:pStyle w:val="2"/>
        <w:spacing w:before="326" w:line="224" w:lineRule="auto"/>
        <w:ind w:left="2" w:right="178" w:firstLine="1"/>
        <w:jc w:val="both"/>
      </w:pPr>
      <w:r>
        <w:rPr>
          <w:color w:val="32373F"/>
          <w:spacing w:val="1"/>
        </w:rPr>
        <w:t>综合来看，主份低增益读出链路在热循环全程的台基均值随温度呈规律性周期变化，</w:t>
      </w:r>
      <w:r>
        <w:rPr>
          <w:color w:val="32373F"/>
          <w:spacing w:val="21"/>
        </w:rPr>
        <w:t xml:space="preserve">  </w:t>
      </w:r>
      <w:r>
        <w:rPr>
          <w:rFonts w:ascii="Arial" w:hAnsi="Arial" w:eastAsia="Arial" w:cs="Arial"/>
          <w:color w:val="32373F"/>
          <w:spacing w:val="1"/>
        </w:rPr>
        <w:t xml:space="preserve">σ </w:t>
      </w:r>
      <w:r>
        <w:rPr>
          <w:color w:val="32373F"/>
          <w:spacing w:val="1"/>
        </w:rPr>
        <w:t>保持在极窄范围</w:t>
      </w:r>
      <w:r>
        <w:rPr>
          <w:color w:val="32373F"/>
          <w:spacing w:val="5"/>
        </w:rPr>
        <w:t>（</w:t>
      </w:r>
      <w:r>
        <w:rPr>
          <w:rFonts w:ascii="Arial" w:hAnsi="Arial" w:eastAsia="Arial" w:cs="Arial"/>
          <w:color w:val="32373F"/>
          <w:spacing w:val="5"/>
        </w:rPr>
        <w:t xml:space="preserve">3–4 </w:t>
      </w:r>
      <w:r>
        <w:rPr>
          <w:rFonts w:ascii="Arial" w:hAnsi="Arial" w:eastAsia="Arial" w:cs="Arial"/>
          <w:color w:val="32373F"/>
        </w:rPr>
        <w:t>ADC</w:t>
      </w:r>
      <w:r>
        <w:rPr>
          <w:color w:val="32373F"/>
          <w:spacing w:val="5"/>
        </w:rPr>
        <w:t>）内稳定波动，</w:t>
      </w:r>
      <w:r>
        <w:rPr>
          <w:color w:val="32373F"/>
          <w:spacing w:val="-23"/>
        </w:rPr>
        <w:t xml:space="preserve"> </w:t>
      </w:r>
      <w:r>
        <w:rPr>
          <w:rFonts w:ascii="Arial" w:hAnsi="Arial" w:eastAsia="Arial" w:cs="Arial"/>
          <w:color w:val="32373F"/>
          <w:spacing w:val="5"/>
        </w:rPr>
        <w:t xml:space="preserve">25 </w:t>
      </w:r>
      <w:r>
        <w:rPr>
          <w:color w:val="32373F"/>
          <w:spacing w:val="5"/>
        </w:rPr>
        <w:t>个通道均</w:t>
      </w:r>
      <w:r>
        <w:rPr>
          <w:color w:val="32373F"/>
          <w:spacing w:val="4"/>
        </w:rPr>
        <w:t>正常工作。除</w:t>
      </w:r>
      <w:r>
        <w:rPr>
          <w:rFonts w:ascii="Arial" w:hAnsi="Arial" w:eastAsia="Arial" w:cs="Arial"/>
          <w:color w:val="32373F"/>
        </w:rPr>
        <w:t>crystal</w:t>
      </w:r>
      <w:r>
        <w:rPr>
          <w:rFonts w:ascii="Arial" w:hAnsi="Arial" w:eastAsia="Arial" w:cs="Arial"/>
          <w:color w:val="32373F"/>
          <w:spacing w:val="26"/>
        </w:rPr>
        <w:t xml:space="preserve"> </w:t>
      </w:r>
      <w:r>
        <w:rPr>
          <w:rFonts w:ascii="Arial" w:hAnsi="Arial" w:eastAsia="Arial" w:cs="Arial"/>
          <w:color w:val="32373F"/>
          <w:spacing w:val="4"/>
        </w:rPr>
        <w:t xml:space="preserve">11 </w:t>
      </w:r>
      <w:r>
        <w:rPr>
          <w:color w:val="32373F"/>
          <w:spacing w:val="4"/>
        </w:rPr>
        <w:t>的单次偶发异常采样点外，其余通道未发现失效或性能退化迹象，主份低增益读出链路在热循环过程中的基线稳</w:t>
      </w:r>
      <w:r>
        <w:rPr>
          <w:color w:val="32373F"/>
          <w:spacing w:val="3"/>
        </w:rPr>
        <w:t>定性满足预期要求。</w:t>
      </w:r>
    </w:p>
    <w:p w14:paraId="58E82DC5">
      <w:pPr>
        <w:pStyle w:val="2"/>
        <w:spacing w:before="308" w:line="187" w:lineRule="auto"/>
        <w:ind w:left="9"/>
        <w:outlineLvl w:val="3"/>
      </w:pPr>
      <w:r>
        <w:rPr>
          <w:rFonts w:ascii="Arial" w:hAnsi="Arial" w:eastAsia="Arial" w:cs="Arial"/>
          <w:b/>
          <w:bCs/>
          <w:color w:val="32373F"/>
          <w:spacing w:val="3"/>
        </w:rPr>
        <w:t xml:space="preserve">5.1.3 </w:t>
      </w:r>
      <w:r>
        <w:rPr>
          <w:b/>
          <w:bCs/>
          <w:color w:val="32373F"/>
          <w:spacing w:val="3"/>
        </w:rPr>
        <w:t>备份高增益基线及时间稳定性</w:t>
      </w:r>
    </w:p>
    <w:p w14:paraId="209C45E3">
      <w:pPr>
        <w:spacing w:line="187" w:lineRule="auto"/>
        <w:sectPr>
          <w:pgSz w:w="11919" w:h="16858"/>
          <w:pgMar w:top="400" w:right="783" w:bottom="0" w:left="785" w:header="0" w:footer="0" w:gutter="0"/>
          <w:cols w:space="720" w:num="1"/>
        </w:sectPr>
      </w:pPr>
    </w:p>
    <w:p w14:paraId="18F3DE19">
      <w:pPr>
        <w:spacing w:before="160" w:line="10185" w:lineRule="exact"/>
      </w:pPr>
      <w:r>
        <w:rPr>
          <w:position w:val="-203"/>
        </w:rPr>
        <w:drawing>
          <wp:inline distT="0" distB="0" distL="0" distR="0">
            <wp:extent cx="6572250" cy="6467475"/>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34"/>
                    <a:stretch>
                      <a:fillRect/>
                    </a:stretch>
                  </pic:blipFill>
                  <pic:spPr>
                    <a:xfrm>
                      <a:off x="0" y="0"/>
                      <a:ext cx="6572250" cy="6467475"/>
                    </a:xfrm>
                    <a:prstGeom prst="rect">
                      <a:avLst/>
                    </a:prstGeom>
                  </pic:spPr>
                </pic:pic>
              </a:graphicData>
            </a:graphic>
          </wp:inline>
        </w:drawing>
      </w:r>
    </w:p>
    <w:p w14:paraId="612B2BD8">
      <w:pPr>
        <w:pStyle w:val="2"/>
        <w:spacing w:before="321" w:line="239" w:lineRule="auto"/>
        <w:ind w:left="1" w:right="72" w:firstLine="1"/>
      </w:pPr>
      <w:r>
        <w:rPr>
          <w:color w:val="32373F"/>
          <w:spacing w:val="4"/>
        </w:rPr>
        <w:t xml:space="preserve">该图展示了高温保持阶段 </w:t>
      </w:r>
      <w:r>
        <w:rPr>
          <w:rFonts w:ascii="Arial" w:hAnsi="Arial" w:eastAsia="Arial" w:cs="Arial"/>
          <w:color w:val="32373F"/>
        </w:rPr>
        <w:t>Calo</w:t>
      </w:r>
      <w:r>
        <w:rPr>
          <w:rFonts w:ascii="Arial" w:hAnsi="Arial" w:eastAsia="Arial" w:cs="Arial"/>
          <w:color w:val="32373F"/>
          <w:spacing w:val="4"/>
        </w:rPr>
        <w:t xml:space="preserve"> </w:t>
      </w:r>
      <w:r>
        <w:rPr>
          <w:color w:val="32373F"/>
          <w:spacing w:val="4"/>
        </w:rPr>
        <w:t>备份高增益（</w:t>
      </w:r>
      <w:r>
        <w:rPr>
          <w:rFonts w:ascii="Arial" w:hAnsi="Arial" w:eastAsia="Arial" w:cs="Arial"/>
          <w:color w:val="32373F"/>
        </w:rPr>
        <w:t>Backup</w:t>
      </w:r>
      <w:r>
        <w:rPr>
          <w:rFonts w:ascii="Arial" w:hAnsi="Arial" w:eastAsia="Arial" w:cs="Arial"/>
          <w:color w:val="32373F"/>
          <w:spacing w:val="28"/>
        </w:rPr>
        <w:t xml:space="preserve"> </w:t>
      </w:r>
      <w:r>
        <w:rPr>
          <w:rFonts w:ascii="Arial" w:hAnsi="Arial" w:eastAsia="Arial" w:cs="Arial"/>
          <w:color w:val="32373F"/>
        </w:rPr>
        <w:t>High</w:t>
      </w:r>
      <w:r>
        <w:rPr>
          <w:color w:val="32373F"/>
          <w:spacing w:val="4"/>
        </w:rPr>
        <w:t xml:space="preserve">）读出链路 </w:t>
      </w:r>
      <w:r>
        <w:rPr>
          <w:rFonts w:ascii="Arial" w:hAnsi="Arial" w:eastAsia="Arial" w:cs="Arial"/>
          <w:color w:val="32373F"/>
          <w:spacing w:val="4"/>
        </w:rPr>
        <w:t xml:space="preserve">25 </w:t>
      </w:r>
      <w:r>
        <w:rPr>
          <w:color w:val="32373F"/>
          <w:spacing w:val="4"/>
        </w:rPr>
        <w:t>个晶体单元的台基（</w:t>
      </w:r>
      <w:r>
        <w:rPr>
          <w:rFonts w:ascii="Arial" w:hAnsi="Arial" w:eastAsia="Arial" w:cs="Arial"/>
          <w:color w:val="32373F"/>
        </w:rPr>
        <w:t>Pedestal</w:t>
      </w:r>
      <w:r>
        <w:rPr>
          <w:color w:val="32373F"/>
          <w:spacing w:val="4"/>
        </w:rPr>
        <w:t>）</w:t>
      </w:r>
      <w:r>
        <w:rPr>
          <w:color w:val="32373F"/>
          <w:spacing w:val="-8"/>
        </w:rPr>
        <w:t>分布。</w:t>
      </w:r>
    </w:p>
    <w:p w14:paraId="6386936D">
      <w:pPr>
        <w:pStyle w:val="2"/>
        <w:spacing w:before="310" w:line="235" w:lineRule="auto"/>
        <w:ind w:left="3" w:hanging="2"/>
      </w:pPr>
      <w:r>
        <w:rPr>
          <w:color w:val="32373F"/>
          <w:spacing w:val="5"/>
        </w:rPr>
        <w:t>各通道均呈现清晰的单峰高斯结构，红色高斯拟合曲线与数据点吻合良好，峰形对称，无双峰、异</w:t>
      </w:r>
      <w:r>
        <w:rPr>
          <w:color w:val="32373F"/>
          <w:spacing w:val="4"/>
        </w:rPr>
        <w:t>常长尾或离散噪声峰，表明该阶段备份高增益读出链路整体工作状</w:t>
      </w:r>
      <w:r>
        <w:rPr>
          <w:color w:val="32373F"/>
          <w:spacing w:val="3"/>
        </w:rPr>
        <w:t xml:space="preserve">态正常，全部 </w:t>
      </w:r>
      <w:r>
        <w:rPr>
          <w:rFonts w:ascii="Arial" w:hAnsi="Arial" w:eastAsia="Arial" w:cs="Arial"/>
          <w:color w:val="32373F"/>
          <w:spacing w:val="3"/>
        </w:rPr>
        <w:t xml:space="preserve">25 </w:t>
      </w:r>
      <w:r>
        <w:rPr>
          <w:color w:val="32373F"/>
          <w:spacing w:val="3"/>
        </w:rPr>
        <w:t>个通道均可正常读出。</w:t>
      </w:r>
    </w:p>
    <w:p w14:paraId="32668723">
      <w:pPr>
        <w:pStyle w:val="2"/>
        <w:spacing w:before="256" w:line="229" w:lineRule="auto"/>
        <w:ind w:right="178" w:firstLine="1"/>
      </w:pPr>
      <w:r>
        <w:rPr>
          <w:color w:val="32373F"/>
          <w:spacing w:val="4"/>
        </w:rPr>
        <w:t>各通道台基均值（</w:t>
      </w:r>
      <w:r>
        <w:rPr>
          <w:rFonts w:ascii="Arial" w:hAnsi="Arial" w:eastAsia="Arial" w:cs="Arial"/>
          <w:color w:val="32373F"/>
        </w:rPr>
        <w:t>Mean</w:t>
      </w:r>
      <w:r>
        <w:rPr>
          <w:color w:val="32373F"/>
          <w:spacing w:val="4"/>
        </w:rPr>
        <w:t>）分布在约</w:t>
      </w:r>
      <w:r>
        <w:rPr>
          <w:color w:val="32373F"/>
          <w:spacing w:val="30"/>
        </w:rPr>
        <w:t xml:space="preserve"> </w:t>
      </w:r>
      <w:r>
        <w:rPr>
          <w:rFonts w:ascii="Arial" w:hAnsi="Arial" w:eastAsia="Arial" w:cs="Arial"/>
          <w:color w:val="32373F"/>
          <w:spacing w:val="4"/>
        </w:rPr>
        <w:t xml:space="preserve">795–1541 </w:t>
      </w:r>
      <w:r>
        <w:rPr>
          <w:rFonts w:ascii="Arial" w:hAnsi="Arial" w:eastAsia="Arial" w:cs="Arial"/>
          <w:color w:val="32373F"/>
        </w:rPr>
        <w:t>ADC</w:t>
      </w:r>
      <w:r>
        <w:rPr>
          <w:rFonts w:ascii="Arial" w:hAnsi="Arial" w:eastAsia="Arial" w:cs="Arial"/>
          <w:color w:val="32373F"/>
          <w:spacing w:val="4"/>
        </w:rPr>
        <w:t xml:space="preserve"> </w:t>
      </w:r>
      <w:r>
        <w:rPr>
          <w:color w:val="32373F"/>
          <w:spacing w:val="4"/>
        </w:rPr>
        <w:t>之间，通道间均值差异较主份高增益链路（</w:t>
      </w:r>
      <w:r>
        <w:rPr>
          <w:rFonts w:ascii="Arial" w:hAnsi="Arial" w:eastAsia="Arial" w:cs="Arial"/>
          <w:color w:val="32373F"/>
          <w:spacing w:val="4"/>
        </w:rPr>
        <w:t>779–</w:t>
      </w:r>
      <w:r>
        <w:rPr>
          <w:rFonts w:ascii="Arial" w:hAnsi="Arial" w:eastAsia="Arial" w:cs="Arial"/>
          <w:color w:val="32373F"/>
        </w:rPr>
        <w:t xml:space="preserve">  </w:t>
      </w:r>
      <w:r>
        <w:rPr>
          <w:rFonts w:ascii="Arial" w:hAnsi="Arial" w:eastAsia="Arial" w:cs="Arial"/>
          <w:color w:val="32373F"/>
          <w:spacing w:val="5"/>
        </w:rPr>
        <w:t xml:space="preserve">1180 </w:t>
      </w:r>
      <w:r>
        <w:rPr>
          <w:rFonts w:ascii="Arial" w:hAnsi="Arial" w:eastAsia="Arial" w:cs="Arial"/>
          <w:color w:val="32373F"/>
        </w:rPr>
        <w:t>ADC</w:t>
      </w:r>
      <w:r>
        <w:rPr>
          <w:color w:val="32373F"/>
          <w:spacing w:val="5"/>
        </w:rPr>
        <w:t>）更为分散，这反映了备份链路各通道前端</w:t>
      </w:r>
      <w:r>
        <w:rPr>
          <w:color w:val="32373F"/>
          <w:spacing w:val="4"/>
        </w:rPr>
        <w:t xml:space="preserve">电子学偏置与 </w:t>
      </w:r>
      <w:r>
        <w:rPr>
          <w:rFonts w:ascii="Arial" w:hAnsi="Arial" w:eastAsia="Arial" w:cs="Arial"/>
          <w:color w:val="32373F"/>
        </w:rPr>
        <w:t>ADC</w:t>
      </w:r>
      <w:r>
        <w:rPr>
          <w:rFonts w:ascii="Arial" w:hAnsi="Arial" w:eastAsia="Arial" w:cs="Arial"/>
          <w:color w:val="32373F"/>
          <w:spacing w:val="4"/>
        </w:rPr>
        <w:t xml:space="preserve"> </w:t>
      </w:r>
      <w:r>
        <w:rPr>
          <w:color w:val="32373F"/>
          <w:spacing w:val="4"/>
        </w:rPr>
        <w:t xml:space="preserve">基准的固有差异，属于正常的通道间特征。高斯拟合 </w:t>
      </w:r>
      <w:r>
        <w:rPr>
          <w:rFonts w:ascii="Arial" w:hAnsi="Arial" w:eastAsia="Arial" w:cs="Arial"/>
          <w:color w:val="32373F"/>
          <w:spacing w:val="4"/>
        </w:rPr>
        <w:t xml:space="preserve">σ </w:t>
      </w:r>
      <w:r>
        <w:rPr>
          <w:color w:val="32373F"/>
          <w:spacing w:val="4"/>
        </w:rPr>
        <w:t xml:space="preserve">值集中在约 </w:t>
      </w:r>
      <w:r>
        <w:rPr>
          <w:rFonts w:ascii="Arial" w:hAnsi="Arial" w:eastAsia="Arial" w:cs="Arial"/>
          <w:color w:val="32373F"/>
          <w:spacing w:val="4"/>
        </w:rPr>
        <w:t xml:space="preserve">22.9–25.5 </w:t>
      </w:r>
      <w:r>
        <w:rPr>
          <w:rFonts w:ascii="Arial" w:hAnsi="Arial" w:eastAsia="Arial" w:cs="Arial"/>
          <w:color w:val="32373F"/>
        </w:rPr>
        <w:t>ADC</w:t>
      </w:r>
      <w:r>
        <w:rPr>
          <w:rFonts w:ascii="Arial" w:hAnsi="Arial" w:eastAsia="Arial" w:cs="Arial"/>
          <w:color w:val="32373F"/>
          <w:spacing w:val="4"/>
        </w:rPr>
        <w:t xml:space="preserve"> </w:t>
      </w:r>
      <w:r>
        <w:rPr>
          <w:color w:val="32373F"/>
          <w:spacing w:val="4"/>
        </w:rPr>
        <w:t>范围内，与主份高</w:t>
      </w:r>
      <w:r>
        <w:rPr>
          <w:color w:val="32373F"/>
          <w:spacing w:val="3"/>
        </w:rPr>
        <w:t xml:space="preserve">增益链路的 </w:t>
      </w:r>
      <w:r>
        <w:rPr>
          <w:rFonts w:ascii="Arial" w:hAnsi="Arial" w:eastAsia="Arial" w:cs="Arial"/>
          <w:color w:val="32373F"/>
          <w:spacing w:val="3"/>
        </w:rPr>
        <w:t xml:space="preserve">σ </w:t>
      </w:r>
      <w:r>
        <w:rPr>
          <w:color w:val="32373F"/>
          <w:spacing w:val="3"/>
        </w:rPr>
        <w:t>范围（</w:t>
      </w:r>
      <w:r>
        <w:rPr>
          <w:rFonts w:ascii="Arial" w:hAnsi="Arial" w:eastAsia="Arial" w:cs="Arial"/>
          <w:color w:val="32373F"/>
          <w:spacing w:val="3"/>
        </w:rPr>
        <w:t>24.7–27.4</w:t>
      </w:r>
      <w:r>
        <w:rPr>
          <w:rFonts w:ascii="Arial" w:hAnsi="Arial" w:eastAsia="Arial" w:cs="Arial"/>
          <w:color w:val="32373F"/>
        </w:rPr>
        <w:t xml:space="preserve"> ADC</w:t>
      </w:r>
      <w:r>
        <w:rPr>
          <w:color w:val="32373F"/>
          <w:spacing w:val="3"/>
        </w:rPr>
        <w:t xml:space="preserve">）相近，未发现 </w:t>
      </w:r>
      <w:r>
        <w:rPr>
          <w:rFonts w:ascii="Arial" w:hAnsi="Arial" w:eastAsia="Arial" w:cs="Arial"/>
          <w:color w:val="32373F"/>
          <w:spacing w:val="3"/>
        </w:rPr>
        <w:t xml:space="preserve">σ </w:t>
      </w:r>
      <w:r>
        <w:rPr>
          <w:color w:val="32373F"/>
          <w:spacing w:val="3"/>
        </w:rPr>
        <w:t>异常展宽的通道，各通道噪声水平总体均匀。</w:t>
      </w:r>
    </w:p>
    <w:p w14:paraId="69873342">
      <w:pPr>
        <w:pStyle w:val="2"/>
        <w:spacing w:before="322" w:line="187" w:lineRule="auto"/>
        <w:ind w:left="4"/>
      </w:pPr>
      <w:r>
        <w:rPr>
          <w:b/>
          <w:bCs/>
          <w:color w:val="32373F"/>
          <w:spacing w:val="5"/>
        </w:rPr>
        <w:t>高斯拟合</w:t>
      </w:r>
      <w:r>
        <w:rPr>
          <w:rFonts w:ascii="Arial" w:hAnsi="Arial" w:eastAsia="Arial" w:cs="Arial"/>
          <w:b/>
          <w:bCs/>
          <w:color w:val="32373F"/>
        </w:rPr>
        <w:t>mean</w:t>
      </w:r>
      <w:r>
        <w:rPr>
          <w:b/>
          <w:bCs/>
          <w:color w:val="32373F"/>
          <w:spacing w:val="5"/>
        </w:rPr>
        <w:t>值时间稳定性</w:t>
      </w:r>
    </w:p>
    <w:p w14:paraId="695A753A">
      <w:pPr>
        <w:spacing w:line="187" w:lineRule="auto"/>
        <w:sectPr>
          <w:pgSz w:w="11919" w:h="16858"/>
          <w:pgMar w:top="400" w:right="783" w:bottom="0" w:left="785" w:header="0" w:footer="0" w:gutter="0"/>
          <w:cols w:space="720" w:num="1"/>
        </w:sectPr>
      </w:pPr>
    </w:p>
    <w:p w14:paraId="029F19EA">
      <w:pPr>
        <w:spacing w:before="160" w:line="8865" w:lineRule="exact"/>
      </w:pPr>
      <w:r>
        <w:rPr>
          <w:position w:val="-177"/>
        </w:rPr>
        <w:drawing>
          <wp:inline distT="0" distB="0" distL="0" distR="0">
            <wp:extent cx="6572250" cy="5629275"/>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35"/>
                    <a:stretch>
                      <a:fillRect/>
                    </a:stretch>
                  </pic:blipFill>
                  <pic:spPr>
                    <a:xfrm>
                      <a:off x="0" y="0"/>
                      <a:ext cx="6572250" cy="5629275"/>
                    </a:xfrm>
                    <a:prstGeom prst="rect">
                      <a:avLst/>
                    </a:prstGeom>
                  </pic:spPr>
                </pic:pic>
              </a:graphicData>
            </a:graphic>
          </wp:inline>
        </w:drawing>
      </w:r>
    </w:p>
    <w:p w14:paraId="4868D0DF">
      <w:pPr>
        <w:pStyle w:val="2"/>
        <w:spacing w:before="320" w:line="239" w:lineRule="auto"/>
        <w:ind w:left="3" w:right="36"/>
      </w:pPr>
      <w:r>
        <w:rPr>
          <w:color w:val="32373F"/>
          <w:spacing w:val="2"/>
        </w:rPr>
        <w:t xml:space="preserve">该图展示了 </w:t>
      </w:r>
      <w:r>
        <w:rPr>
          <w:rFonts w:ascii="Arial" w:hAnsi="Arial" w:eastAsia="Arial" w:cs="Arial"/>
          <w:color w:val="32373F"/>
          <w:spacing w:val="2"/>
        </w:rPr>
        <w:t xml:space="preserve">3 </w:t>
      </w:r>
      <w:r>
        <w:rPr>
          <w:color w:val="32373F"/>
          <w:spacing w:val="2"/>
        </w:rPr>
        <w:t>月</w:t>
      </w:r>
      <w:r>
        <w:rPr>
          <w:color w:val="32373F"/>
          <w:spacing w:val="39"/>
        </w:rPr>
        <w:t xml:space="preserve"> </w:t>
      </w:r>
      <w:r>
        <w:rPr>
          <w:rFonts w:ascii="Arial" w:hAnsi="Arial" w:eastAsia="Arial" w:cs="Arial"/>
          <w:color w:val="32373F"/>
          <w:spacing w:val="2"/>
        </w:rPr>
        <w:t>16</w:t>
      </w:r>
      <w:r>
        <w:rPr>
          <w:rFonts w:ascii="Arial" w:hAnsi="Arial" w:eastAsia="Arial" w:cs="Arial"/>
          <w:color w:val="32373F"/>
          <w:spacing w:val="36"/>
        </w:rPr>
        <w:t xml:space="preserve"> </w:t>
      </w:r>
      <w:r>
        <w:rPr>
          <w:color w:val="32373F"/>
          <w:spacing w:val="2"/>
        </w:rPr>
        <w:t xml:space="preserve">日至 </w:t>
      </w:r>
      <w:r>
        <w:rPr>
          <w:rFonts w:ascii="Arial" w:hAnsi="Arial" w:eastAsia="Arial" w:cs="Arial"/>
          <w:color w:val="32373F"/>
          <w:spacing w:val="2"/>
        </w:rPr>
        <w:t>23</w:t>
      </w:r>
      <w:r>
        <w:rPr>
          <w:rFonts w:ascii="Arial" w:hAnsi="Arial" w:eastAsia="Arial" w:cs="Arial"/>
          <w:color w:val="32373F"/>
          <w:spacing w:val="36"/>
        </w:rPr>
        <w:t xml:space="preserve"> </w:t>
      </w:r>
      <w:r>
        <w:rPr>
          <w:color w:val="32373F"/>
          <w:spacing w:val="2"/>
        </w:rPr>
        <w:t>日完整热循环期间，</w:t>
      </w:r>
      <w:r>
        <w:rPr>
          <w:rFonts w:ascii="Arial" w:hAnsi="Arial" w:eastAsia="Arial" w:cs="Arial"/>
          <w:color w:val="32373F"/>
          <w:spacing w:val="2"/>
        </w:rPr>
        <w:t xml:space="preserve">25 </w:t>
      </w:r>
      <w:r>
        <w:rPr>
          <w:color w:val="32373F"/>
          <w:spacing w:val="2"/>
        </w:rPr>
        <w:t>个晶体单元备份高增益台基均值（蓝色点，左轴）及其相对波动量（红色线，右轴）的时间演化。</w:t>
      </w:r>
    </w:p>
    <w:p w14:paraId="433E0B7C">
      <w:pPr>
        <w:pStyle w:val="2"/>
        <w:spacing w:before="312" w:line="223" w:lineRule="auto"/>
        <w:ind w:left="2" w:right="16" w:firstLine="4"/>
      </w:pPr>
      <w:r>
        <w:rPr>
          <w:b/>
          <w:bCs/>
          <w:color w:val="32373F"/>
          <w:spacing w:val="3"/>
        </w:rPr>
        <w:t>台基均值（蓝色</w:t>
      </w:r>
      <w:r>
        <w:rPr>
          <w:b/>
          <w:bCs/>
          <w:color w:val="32373F"/>
          <w:spacing w:val="2"/>
        </w:rPr>
        <w:t>）</w:t>
      </w:r>
      <w:r>
        <w:rPr>
          <w:b/>
          <w:bCs/>
          <w:color w:val="32373F"/>
          <w:spacing w:val="9"/>
        </w:rPr>
        <w:t xml:space="preserve"> </w:t>
      </w:r>
      <w:r>
        <w:rPr>
          <w:color w:val="32373F"/>
          <w:spacing w:val="2"/>
        </w:rPr>
        <w:t>：</w:t>
      </w:r>
      <w:r>
        <w:rPr>
          <w:color w:val="32373F"/>
          <w:spacing w:val="3"/>
        </w:rPr>
        <w:t>各晶体通道的台基均值随时间均呈现出清晰的周期性振荡，振荡形态与</w:t>
      </w:r>
      <w:r>
        <w:rPr>
          <w:color w:val="32373F"/>
          <w:spacing w:val="2"/>
        </w:rPr>
        <w:t>热循环温度剖</w:t>
      </w:r>
      <w:r>
        <w:rPr>
          <w:color w:val="32373F"/>
          <w:spacing w:val="5"/>
        </w:rPr>
        <w:t xml:space="preserve">面高度一致，振荡幅度约为 </w:t>
      </w:r>
      <w:r>
        <w:rPr>
          <w:rFonts w:ascii="Arial" w:hAnsi="Arial" w:eastAsia="Arial" w:cs="Arial"/>
          <w:color w:val="32373F"/>
          <w:spacing w:val="5"/>
        </w:rPr>
        <w:t xml:space="preserve">±50–100 </w:t>
      </w:r>
      <w:r>
        <w:rPr>
          <w:rFonts w:ascii="Arial" w:hAnsi="Arial" w:eastAsia="Arial" w:cs="Arial"/>
          <w:color w:val="32373F"/>
        </w:rPr>
        <w:t>ADC</w:t>
      </w:r>
      <w:r>
        <w:rPr>
          <w:color w:val="32373F"/>
          <w:spacing w:val="5"/>
        </w:rPr>
        <w:t>，与</w:t>
      </w:r>
      <w:r>
        <w:rPr>
          <w:color w:val="32373F"/>
          <w:spacing w:val="4"/>
        </w:rPr>
        <w:t>主份高增益链路的温度响应幅度相当。在每个完整的温度循环中，各通道台基均值均能可重复地回归至接近初始水平，未见系统性单向漂移。</w:t>
      </w:r>
      <w:r>
        <w:rPr>
          <w:color w:val="32373F"/>
          <w:spacing w:val="3"/>
        </w:rPr>
        <w:t>值得关注的是，</w:t>
      </w:r>
    </w:p>
    <w:p w14:paraId="00467004">
      <w:pPr>
        <w:pStyle w:val="2"/>
        <w:spacing w:before="27" w:line="233" w:lineRule="auto"/>
        <w:ind w:left="4" w:right="23" w:firstLine="4"/>
      </w:pPr>
      <w:r>
        <w:rPr>
          <w:rFonts w:ascii="Arial" w:hAnsi="Arial" w:eastAsia="Arial" w:cs="Arial"/>
          <w:b/>
          <w:bCs/>
          <w:color w:val="32373F"/>
        </w:rPr>
        <w:t>crystal</w:t>
      </w:r>
      <w:r>
        <w:rPr>
          <w:rFonts w:ascii="Arial" w:hAnsi="Arial" w:eastAsia="Arial" w:cs="Arial"/>
          <w:b/>
          <w:bCs/>
          <w:color w:val="32373F"/>
          <w:spacing w:val="19"/>
        </w:rPr>
        <w:t xml:space="preserve"> </w:t>
      </w:r>
      <w:r>
        <w:rPr>
          <w:rFonts w:ascii="Arial" w:hAnsi="Arial" w:eastAsia="Arial" w:cs="Arial"/>
          <w:b/>
          <w:bCs/>
          <w:color w:val="32373F"/>
          <w:spacing w:val="5"/>
        </w:rPr>
        <w:t xml:space="preserve">13 </w:t>
      </w:r>
      <w:r>
        <w:rPr>
          <w:color w:val="32373F"/>
          <w:spacing w:val="5"/>
        </w:rPr>
        <w:t>的台基均值在整个监测期间几乎不随温度变</w:t>
      </w:r>
      <w:r>
        <w:rPr>
          <w:color w:val="32373F"/>
          <w:spacing w:val="4"/>
        </w:rPr>
        <w:t>化（蓝色曲线近似水平</w:t>
      </w:r>
      <w:r>
        <w:rPr>
          <w:color w:val="32373F"/>
          <w:spacing w:val="5"/>
        </w:rPr>
        <w:t>），</w:t>
      </w:r>
      <w:r>
        <w:rPr>
          <w:color w:val="32373F"/>
          <w:spacing w:val="4"/>
        </w:rPr>
        <w:t>与其他通道的周期性振荡行为明显不同，可能反映该通道读出链路对温度变化的响应特性存在差异，可能需要进一步排查。</w:t>
      </w:r>
    </w:p>
    <w:p w14:paraId="102E8F04">
      <w:pPr>
        <w:pStyle w:val="2"/>
        <w:spacing w:before="258" w:line="230" w:lineRule="auto"/>
        <w:ind w:right="49" w:firstLine="8"/>
        <w:jc w:val="both"/>
      </w:pPr>
      <w:r>
        <w:rPr>
          <w:rFonts w:ascii="Arial" w:hAnsi="Arial" w:eastAsia="Arial" w:cs="Arial"/>
          <w:b/>
          <w:bCs/>
          <w:color w:val="32373F"/>
        </w:rPr>
        <w:t>crystal</w:t>
      </w:r>
      <w:r>
        <w:rPr>
          <w:rFonts w:ascii="Arial" w:hAnsi="Arial" w:eastAsia="Arial" w:cs="Arial"/>
          <w:b/>
          <w:bCs/>
          <w:color w:val="32373F"/>
          <w:spacing w:val="4"/>
        </w:rPr>
        <w:t xml:space="preserve"> 24 </w:t>
      </w:r>
      <w:r>
        <w:rPr>
          <w:color w:val="32373F"/>
          <w:spacing w:val="4"/>
        </w:rPr>
        <w:t xml:space="preserve">在 </w:t>
      </w:r>
      <w:r>
        <w:rPr>
          <w:rFonts w:ascii="Arial" w:hAnsi="Arial" w:eastAsia="Arial" w:cs="Arial"/>
          <w:color w:val="32373F"/>
          <w:spacing w:val="4"/>
        </w:rPr>
        <w:t xml:space="preserve">3 </w:t>
      </w:r>
      <w:r>
        <w:rPr>
          <w:color w:val="32373F"/>
          <w:spacing w:val="4"/>
        </w:rPr>
        <w:t xml:space="preserve">月 </w:t>
      </w:r>
      <w:r>
        <w:rPr>
          <w:rFonts w:ascii="Arial" w:hAnsi="Arial" w:eastAsia="Arial" w:cs="Arial"/>
          <w:color w:val="32373F"/>
          <w:spacing w:val="4"/>
        </w:rPr>
        <w:t>21</w:t>
      </w:r>
      <w:r>
        <w:rPr>
          <w:rFonts w:ascii="Arial" w:hAnsi="Arial" w:eastAsia="Arial" w:cs="Arial"/>
          <w:color w:val="32373F"/>
          <w:spacing w:val="36"/>
        </w:rPr>
        <w:t xml:space="preserve"> </w:t>
      </w:r>
      <w:r>
        <w:rPr>
          <w:color w:val="32373F"/>
          <w:spacing w:val="4"/>
        </w:rPr>
        <w:t>日前后出现蓝色曲线的阶梯式跳变，需结</w:t>
      </w:r>
      <w:r>
        <w:rPr>
          <w:color w:val="32373F"/>
          <w:spacing w:val="3"/>
        </w:rPr>
        <w:t>合状态量日志确认是否与断电重启或模式</w:t>
      </w:r>
      <w:r>
        <w:rPr>
          <w:color w:val="32373F"/>
          <w:spacing w:val="4"/>
        </w:rPr>
        <w:t>切换相关。</w:t>
      </w:r>
      <w:r>
        <w:rPr>
          <w:color w:val="32373F"/>
          <w:spacing w:val="-32"/>
        </w:rPr>
        <w:t xml:space="preserve"> </w:t>
      </w:r>
      <w:r>
        <w:rPr>
          <w:rFonts w:ascii="Arial" w:hAnsi="Arial" w:eastAsia="Arial" w:cs="Arial"/>
          <w:b/>
          <w:bCs/>
          <w:color w:val="32373F"/>
        </w:rPr>
        <w:t>crystal</w:t>
      </w:r>
      <w:r>
        <w:rPr>
          <w:rFonts w:ascii="Arial" w:hAnsi="Arial" w:eastAsia="Arial" w:cs="Arial"/>
          <w:b/>
          <w:bCs/>
          <w:color w:val="32373F"/>
          <w:spacing w:val="4"/>
        </w:rPr>
        <w:t xml:space="preserve"> 25 </w:t>
      </w:r>
      <w:r>
        <w:rPr>
          <w:color w:val="32373F"/>
          <w:spacing w:val="4"/>
        </w:rPr>
        <w:t>的台基均值明显高于其他通道（约</w:t>
      </w:r>
      <w:r>
        <w:rPr>
          <w:color w:val="32373F"/>
          <w:spacing w:val="22"/>
        </w:rPr>
        <w:t xml:space="preserve"> </w:t>
      </w:r>
      <w:r>
        <w:rPr>
          <w:rFonts w:ascii="Arial" w:hAnsi="Arial" w:eastAsia="Arial" w:cs="Arial"/>
          <w:color w:val="32373F"/>
          <w:spacing w:val="4"/>
        </w:rPr>
        <w:t>15</w:t>
      </w:r>
      <w:r>
        <w:rPr>
          <w:rFonts w:ascii="Arial" w:hAnsi="Arial" w:eastAsia="Arial" w:cs="Arial"/>
          <w:color w:val="32373F"/>
          <w:spacing w:val="3"/>
        </w:rPr>
        <w:t xml:space="preserve">00 </w:t>
      </w:r>
      <w:r>
        <w:rPr>
          <w:rFonts w:ascii="Arial" w:hAnsi="Arial" w:eastAsia="Arial" w:cs="Arial"/>
          <w:color w:val="32373F"/>
        </w:rPr>
        <w:t>ADC</w:t>
      </w:r>
      <w:r>
        <w:rPr>
          <w:rFonts w:ascii="Arial" w:hAnsi="Arial" w:eastAsia="Arial" w:cs="Arial"/>
          <w:color w:val="32373F"/>
          <w:spacing w:val="3"/>
        </w:rPr>
        <w:t xml:space="preserve"> </w:t>
      </w:r>
      <w:r>
        <w:rPr>
          <w:color w:val="32373F"/>
          <w:spacing w:val="3"/>
        </w:rPr>
        <w:t>附近），与图像</w:t>
      </w:r>
      <w:r>
        <w:rPr>
          <w:rFonts w:ascii="Arial" w:hAnsi="Arial" w:eastAsia="Arial" w:cs="Arial"/>
          <w:color w:val="32373F"/>
          <w:spacing w:val="3"/>
        </w:rPr>
        <w:t>1</w:t>
      </w:r>
      <w:r>
        <w:rPr>
          <w:color w:val="32373F"/>
          <w:spacing w:val="3"/>
        </w:rPr>
        <w:t xml:space="preserve">中 </w:t>
      </w:r>
      <w:r>
        <w:rPr>
          <w:rFonts w:ascii="Arial" w:hAnsi="Arial" w:eastAsia="Arial" w:cs="Arial"/>
          <w:color w:val="32373F"/>
        </w:rPr>
        <w:t>channel</w:t>
      </w:r>
      <w:r>
        <w:rPr>
          <w:rFonts w:ascii="Arial" w:hAnsi="Arial" w:eastAsia="Arial" w:cs="Arial"/>
          <w:color w:val="32373F"/>
          <w:spacing w:val="3"/>
        </w:rPr>
        <w:t xml:space="preserve"> 24</w:t>
      </w:r>
      <w:r>
        <w:rPr>
          <w:color w:val="32373F"/>
          <w:spacing w:val="3"/>
        </w:rPr>
        <w:t>（对</w:t>
      </w:r>
      <w:r>
        <w:rPr>
          <w:color w:val="32373F"/>
          <w:spacing w:val="2"/>
        </w:rPr>
        <w:t xml:space="preserve">应 </w:t>
      </w:r>
      <w:r>
        <w:rPr>
          <w:rFonts w:ascii="Arial" w:hAnsi="Arial" w:eastAsia="Arial" w:cs="Arial"/>
          <w:color w:val="32373F"/>
        </w:rPr>
        <w:t>crystal</w:t>
      </w:r>
      <w:r>
        <w:rPr>
          <w:rFonts w:ascii="Arial" w:hAnsi="Arial" w:eastAsia="Arial" w:cs="Arial"/>
          <w:color w:val="32373F"/>
          <w:spacing w:val="2"/>
        </w:rPr>
        <w:t xml:space="preserve"> 25</w:t>
      </w:r>
      <w:r>
        <w:rPr>
          <w:color w:val="32373F"/>
          <w:spacing w:val="2"/>
        </w:rPr>
        <w:t>）的</w:t>
      </w:r>
      <w:r>
        <w:rPr>
          <w:color w:val="32373F"/>
          <w:spacing w:val="36"/>
        </w:rPr>
        <w:t xml:space="preserve"> </w:t>
      </w:r>
      <w:r>
        <w:rPr>
          <w:rFonts w:ascii="Arial" w:hAnsi="Arial" w:eastAsia="Arial" w:cs="Arial"/>
          <w:color w:val="32373F"/>
        </w:rPr>
        <w:t>Mean</w:t>
      </w:r>
      <w:r>
        <w:rPr>
          <w:rFonts w:ascii="Arial" w:hAnsi="Arial" w:eastAsia="Arial" w:cs="Arial"/>
          <w:color w:val="32373F"/>
          <w:spacing w:val="2"/>
        </w:rPr>
        <w:t xml:space="preserve"> =</w:t>
      </w:r>
      <w:r>
        <w:rPr>
          <w:rFonts w:ascii="Arial" w:hAnsi="Arial" w:eastAsia="Arial" w:cs="Arial"/>
          <w:color w:val="32373F"/>
          <w:spacing w:val="26"/>
        </w:rPr>
        <w:t xml:space="preserve"> </w:t>
      </w:r>
      <w:r>
        <w:rPr>
          <w:rFonts w:ascii="Arial" w:hAnsi="Arial" w:eastAsia="Arial" w:cs="Arial"/>
          <w:color w:val="32373F"/>
          <w:spacing w:val="2"/>
        </w:rPr>
        <w:t>1541</w:t>
      </w:r>
      <w:r>
        <w:rPr>
          <w:rFonts w:ascii="Arial" w:hAnsi="Arial" w:eastAsia="Arial" w:cs="Arial"/>
          <w:color w:val="32373F"/>
          <w:spacing w:val="-10"/>
        </w:rPr>
        <w:t xml:space="preserve"> </w:t>
      </w:r>
      <w:r>
        <w:rPr>
          <w:rFonts w:ascii="Arial" w:hAnsi="Arial" w:eastAsia="Arial" w:cs="Arial"/>
          <w:color w:val="32373F"/>
        </w:rPr>
        <w:t>ADC</w:t>
      </w:r>
      <w:r>
        <w:rPr>
          <w:rFonts w:ascii="Arial" w:hAnsi="Arial" w:eastAsia="Arial" w:cs="Arial"/>
          <w:color w:val="32373F"/>
          <w:spacing w:val="2"/>
        </w:rPr>
        <w:t xml:space="preserve"> </w:t>
      </w:r>
      <w:r>
        <w:rPr>
          <w:color w:val="32373F"/>
          <w:spacing w:val="2"/>
        </w:rPr>
        <w:t>一致，属于该通道固有的较高偏置，非异常突变。</w:t>
      </w:r>
    </w:p>
    <w:p w14:paraId="6844C1F7">
      <w:pPr>
        <w:pStyle w:val="2"/>
        <w:spacing w:before="298" w:line="231" w:lineRule="auto"/>
        <w:ind w:right="113" w:firstLine="1"/>
        <w:jc w:val="both"/>
      </w:pPr>
      <w:r>
        <w:rPr>
          <w:b/>
          <w:bCs/>
          <w:color w:val="32373F"/>
          <w:spacing w:val="3"/>
        </w:rPr>
        <w:t>相对波动量（红色</w:t>
      </w:r>
      <w:r>
        <w:rPr>
          <w:b/>
          <w:bCs/>
          <w:color w:val="32373F"/>
          <w:spacing w:val="1"/>
        </w:rPr>
        <w:t>）</w:t>
      </w:r>
      <w:r>
        <w:rPr>
          <w:b/>
          <w:bCs/>
          <w:color w:val="32373F"/>
          <w:spacing w:val="20"/>
        </w:rPr>
        <w:t xml:space="preserve"> </w:t>
      </w:r>
      <w:r>
        <w:rPr>
          <w:color w:val="32373F"/>
          <w:spacing w:val="1"/>
        </w:rPr>
        <w:t>：</w:t>
      </w:r>
      <w:r>
        <w:rPr>
          <w:color w:val="32373F"/>
          <w:spacing w:val="3"/>
        </w:rPr>
        <w:t xml:space="preserve">绝大多数通道的相对波动幅度控制在 </w:t>
      </w:r>
      <w:r>
        <w:rPr>
          <w:rFonts w:ascii="Arial" w:hAnsi="Arial" w:eastAsia="Arial" w:cs="Arial"/>
          <w:color w:val="32373F"/>
          <w:spacing w:val="3"/>
        </w:rPr>
        <w:t xml:space="preserve">±0.2 </w:t>
      </w:r>
      <w:r>
        <w:rPr>
          <w:color w:val="32373F"/>
          <w:spacing w:val="3"/>
        </w:rPr>
        <w:t>以内，周期性特征</w:t>
      </w:r>
      <w:r>
        <w:rPr>
          <w:color w:val="32373F"/>
          <w:spacing w:val="2"/>
        </w:rPr>
        <w:t>清晰，与温度剖面对</w:t>
      </w:r>
      <w:r>
        <w:rPr>
          <w:color w:val="32373F"/>
          <w:spacing w:val="4"/>
        </w:rPr>
        <w:t xml:space="preserve">应良好；少数通道（如 </w:t>
      </w:r>
      <w:r>
        <w:rPr>
          <w:rFonts w:ascii="Arial" w:hAnsi="Arial" w:eastAsia="Arial" w:cs="Arial"/>
          <w:color w:val="32373F"/>
        </w:rPr>
        <w:t>crystal</w:t>
      </w:r>
      <w:r>
        <w:rPr>
          <w:rFonts w:ascii="Arial" w:hAnsi="Arial" w:eastAsia="Arial" w:cs="Arial"/>
          <w:color w:val="32373F"/>
          <w:spacing w:val="4"/>
        </w:rPr>
        <w:t xml:space="preserve"> 3</w:t>
      </w:r>
      <w:r>
        <w:rPr>
          <w:color w:val="32373F"/>
          <w:spacing w:val="4"/>
        </w:rPr>
        <w:t>、</w:t>
      </w:r>
      <w:r>
        <w:rPr>
          <w:rFonts w:ascii="Arial" w:hAnsi="Arial" w:eastAsia="Arial" w:cs="Arial"/>
          <w:color w:val="32373F"/>
          <w:spacing w:val="4"/>
        </w:rPr>
        <w:t>4</w:t>
      </w:r>
      <w:r>
        <w:rPr>
          <w:color w:val="32373F"/>
          <w:spacing w:val="4"/>
        </w:rPr>
        <w:t>、</w:t>
      </w:r>
      <w:r>
        <w:rPr>
          <w:rFonts w:ascii="Arial" w:hAnsi="Arial" w:eastAsia="Arial" w:cs="Arial"/>
          <w:color w:val="32373F"/>
          <w:spacing w:val="4"/>
        </w:rPr>
        <w:t>5</w:t>
      </w:r>
      <w:r>
        <w:rPr>
          <w:color w:val="32373F"/>
          <w:spacing w:val="4"/>
        </w:rPr>
        <w:t>、</w:t>
      </w:r>
      <w:r>
        <w:rPr>
          <w:rFonts w:ascii="Arial" w:hAnsi="Arial" w:eastAsia="Arial" w:cs="Arial"/>
          <w:color w:val="32373F"/>
          <w:spacing w:val="4"/>
        </w:rPr>
        <w:t>25</w:t>
      </w:r>
      <w:r>
        <w:rPr>
          <w:color w:val="32373F"/>
          <w:spacing w:val="4"/>
        </w:rPr>
        <w:t xml:space="preserve">）的相对波动在部分时间段略超 </w:t>
      </w:r>
      <w:r>
        <w:rPr>
          <w:rFonts w:ascii="Arial" w:hAnsi="Arial" w:eastAsia="Arial" w:cs="Arial"/>
          <w:color w:val="32373F"/>
          <w:spacing w:val="4"/>
        </w:rPr>
        <w:t>±0.2</w:t>
      </w:r>
      <w:r>
        <w:rPr>
          <w:color w:val="32373F"/>
          <w:spacing w:val="4"/>
        </w:rPr>
        <w:t>，但持续性有限，属于</w:t>
      </w:r>
      <w:r>
        <w:rPr>
          <w:color w:val="32373F"/>
          <w:spacing w:val="-4"/>
        </w:rPr>
        <w:t>偶发散布。</w:t>
      </w:r>
    </w:p>
    <w:p w14:paraId="2A5B075C">
      <w:pPr>
        <w:pStyle w:val="2"/>
        <w:spacing w:before="314" w:line="187" w:lineRule="auto"/>
        <w:ind w:left="4"/>
      </w:pPr>
      <w:r>
        <w:rPr>
          <w:b/>
          <w:bCs/>
          <w:color w:val="32373F"/>
          <w:spacing w:val="4"/>
        </w:rPr>
        <w:t>高斯拟合</w:t>
      </w:r>
      <w:r>
        <w:rPr>
          <w:rFonts w:ascii="Arial" w:hAnsi="Arial" w:eastAsia="Arial" w:cs="Arial"/>
          <w:b/>
          <w:bCs/>
          <w:color w:val="32373F"/>
          <w:spacing w:val="4"/>
        </w:rPr>
        <w:t>σ</w:t>
      </w:r>
      <w:r>
        <w:rPr>
          <w:b/>
          <w:bCs/>
          <w:color w:val="32373F"/>
          <w:spacing w:val="4"/>
        </w:rPr>
        <w:t>值时间稳定性</w:t>
      </w:r>
    </w:p>
    <w:p w14:paraId="011E9FEB">
      <w:pPr>
        <w:spacing w:line="187" w:lineRule="auto"/>
        <w:sectPr>
          <w:pgSz w:w="11919" w:h="16858"/>
          <w:pgMar w:top="400" w:right="783" w:bottom="0" w:left="785" w:header="0" w:footer="0" w:gutter="0"/>
          <w:cols w:space="720" w:num="1"/>
        </w:sectPr>
      </w:pPr>
    </w:p>
    <w:p w14:paraId="7426ABED">
      <w:pPr>
        <w:spacing w:before="160" w:line="8865" w:lineRule="exact"/>
      </w:pPr>
      <w:r>
        <w:rPr>
          <w:position w:val="-177"/>
        </w:rPr>
        <w:drawing>
          <wp:inline distT="0" distB="0" distL="0" distR="0">
            <wp:extent cx="6572250" cy="5629275"/>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36"/>
                    <a:stretch>
                      <a:fillRect/>
                    </a:stretch>
                  </pic:blipFill>
                  <pic:spPr>
                    <a:xfrm>
                      <a:off x="0" y="0"/>
                      <a:ext cx="6572250" cy="5629275"/>
                    </a:xfrm>
                    <a:prstGeom prst="rect">
                      <a:avLst/>
                    </a:prstGeom>
                  </pic:spPr>
                </pic:pic>
              </a:graphicData>
            </a:graphic>
          </wp:inline>
        </w:drawing>
      </w:r>
    </w:p>
    <w:p w14:paraId="7A00CE14">
      <w:pPr>
        <w:pStyle w:val="2"/>
        <w:spacing w:before="320" w:line="239" w:lineRule="auto"/>
        <w:ind w:left="36" w:right="260" w:hanging="33"/>
      </w:pPr>
      <w:r>
        <w:rPr>
          <w:color w:val="32373F"/>
          <w:spacing w:val="4"/>
        </w:rPr>
        <w:t xml:space="preserve">该图展示了热循环全程 </w:t>
      </w:r>
      <w:r>
        <w:rPr>
          <w:rFonts w:ascii="Arial" w:hAnsi="Arial" w:eastAsia="Arial" w:cs="Arial"/>
          <w:color w:val="32373F"/>
          <w:spacing w:val="4"/>
        </w:rPr>
        <w:t xml:space="preserve">25 </w:t>
      </w:r>
      <w:r>
        <w:rPr>
          <w:color w:val="32373F"/>
          <w:spacing w:val="4"/>
        </w:rPr>
        <w:t xml:space="preserve">个晶体单元备份高增益台基高斯拟合 </w:t>
      </w:r>
      <w:r>
        <w:rPr>
          <w:rFonts w:ascii="Arial" w:hAnsi="Arial" w:eastAsia="Arial" w:cs="Arial"/>
          <w:color w:val="32373F"/>
          <w:spacing w:val="4"/>
        </w:rPr>
        <w:t xml:space="preserve">σ </w:t>
      </w:r>
      <w:r>
        <w:rPr>
          <w:color w:val="32373F"/>
          <w:spacing w:val="4"/>
        </w:rPr>
        <w:t>值（蓝色点，左轴）及其相对波动量</w:t>
      </w:r>
      <w:r>
        <w:rPr>
          <w:color w:val="32373F"/>
          <w:spacing w:val="-1"/>
        </w:rPr>
        <w:t>（红色线，右轴）的时间演化。</w:t>
      </w:r>
    </w:p>
    <w:p w14:paraId="03BE2A34">
      <w:pPr>
        <w:pStyle w:val="2"/>
        <w:spacing w:before="269" w:line="229" w:lineRule="auto"/>
        <w:ind w:left="8"/>
      </w:pPr>
      <w:r>
        <w:rPr>
          <w:rFonts w:ascii="Arial" w:hAnsi="Arial" w:eastAsia="Arial" w:cs="Arial"/>
          <w:b/>
          <w:bCs/>
          <w:color w:val="32373F"/>
          <w:spacing w:val="3"/>
        </w:rPr>
        <w:t xml:space="preserve">σ </w:t>
      </w:r>
      <w:r>
        <w:rPr>
          <w:b/>
          <w:bCs/>
          <w:color w:val="32373F"/>
          <w:spacing w:val="3"/>
        </w:rPr>
        <w:t>值（蓝色</w:t>
      </w:r>
      <w:r>
        <w:rPr>
          <w:b/>
          <w:bCs/>
          <w:color w:val="32373F"/>
          <w:spacing w:val="-3"/>
        </w:rPr>
        <w:t>）</w:t>
      </w:r>
      <w:r>
        <w:rPr>
          <w:b/>
          <w:bCs/>
          <w:color w:val="32373F"/>
          <w:spacing w:val="1"/>
        </w:rPr>
        <w:t xml:space="preserve"> </w:t>
      </w:r>
      <w:r>
        <w:rPr>
          <w:color w:val="32373F"/>
          <w:spacing w:val="-3"/>
        </w:rPr>
        <w:t>：</w:t>
      </w:r>
      <w:r>
        <w:rPr>
          <w:color w:val="32373F"/>
          <w:spacing w:val="3"/>
        </w:rPr>
        <w:t xml:space="preserve">各通道 </w:t>
      </w:r>
      <w:r>
        <w:rPr>
          <w:rFonts w:ascii="Arial" w:hAnsi="Arial" w:eastAsia="Arial" w:cs="Arial"/>
          <w:color w:val="32373F"/>
          <w:spacing w:val="3"/>
        </w:rPr>
        <w:t xml:space="preserve">σ </w:t>
      </w:r>
      <w:r>
        <w:rPr>
          <w:color w:val="32373F"/>
          <w:spacing w:val="3"/>
        </w:rPr>
        <w:t xml:space="preserve">在整个热循环期间总体维持在约 </w:t>
      </w:r>
      <w:r>
        <w:rPr>
          <w:rFonts w:ascii="Arial" w:hAnsi="Arial" w:eastAsia="Arial" w:cs="Arial"/>
          <w:color w:val="32373F"/>
          <w:spacing w:val="3"/>
        </w:rPr>
        <w:t xml:space="preserve">20–27 </w:t>
      </w:r>
      <w:r>
        <w:rPr>
          <w:rFonts w:ascii="Arial" w:hAnsi="Arial" w:eastAsia="Arial" w:cs="Arial"/>
          <w:color w:val="32373F"/>
        </w:rPr>
        <w:t>ADC</w:t>
      </w:r>
      <w:r>
        <w:rPr>
          <w:rFonts w:ascii="Arial" w:hAnsi="Arial" w:eastAsia="Arial" w:cs="Arial"/>
          <w:color w:val="32373F"/>
          <w:spacing w:val="3"/>
        </w:rPr>
        <w:t xml:space="preserve"> </w:t>
      </w:r>
      <w:r>
        <w:rPr>
          <w:color w:val="32373F"/>
          <w:spacing w:val="3"/>
        </w:rPr>
        <w:t>范围内，与单次分布拟合结果</w:t>
      </w:r>
    </w:p>
    <w:p w14:paraId="234A90FB">
      <w:pPr>
        <w:pStyle w:val="2"/>
        <w:spacing w:line="231" w:lineRule="auto"/>
        <w:ind w:left="2" w:right="26" w:firstLine="34"/>
      </w:pPr>
      <w:r>
        <w:rPr>
          <w:color w:val="32373F"/>
          <w:spacing w:val="3"/>
        </w:rPr>
        <w:t>（</w:t>
      </w:r>
      <w:r>
        <w:rPr>
          <w:rFonts w:ascii="Arial" w:hAnsi="Arial" w:eastAsia="Arial" w:cs="Arial"/>
          <w:color w:val="32373F"/>
          <w:spacing w:val="3"/>
        </w:rPr>
        <w:t xml:space="preserve">22.9–25.5 </w:t>
      </w:r>
      <w:r>
        <w:rPr>
          <w:rFonts w:ascii="Arial" w:hAnsi="Arial" w:eastAsia="Arial" w:cs="Arial"/>
          <w:color w:val="32373F"/>
        </w:rPr>
        <w:t>ADC</w:t>
      </w:r>
      <w:r>
        <w:rPr>
          <w:color w:val="32373F"/>
          <w:spacing w:val="3"/>
        </w:rPr>
        <w:t xml:space="preserve">）大体一致。多数通道的 </w:t>
      </w:r>
      <w:r>
        <w:rPr>
          <w:rFonts w:ascii="Arial" w:hAnsi="Arial" w:eastAsia="Arial" w:cs="Arial"/>
          <w:color w:val="32373F"/>
          <w:spacing w:val="3"/>
        </w:rPr>
        <w:t xml:space="preserve">σ </w:t>
      </w:r>
      <w:r>
        <w:rPr>
          <w:color w:val="32373F"/>
          <w:spacing w:val="3"/>
        </w:rPr>
        <w:t>随时间呈现一定幅度的周期性起伏，幅</w:t>
      </w:r>
      <w:r>
        <w:rPr>
          <w:color w:val="32373F"/>
          <w:spacing w:val="2"/>
        </w:rPr>
        <w:t xml:space="preserve">度约为 </w:t>
      </w:r>
      <w:r>
        <w:rPr>
          <w:rFonts w:ascii="Arial" w:hAnsi="Arial" w:eastAsia="Arial" w:cs="Arial"/>
          <w:color w:val="32373F"/>
          <w:spacing w:val="2"/>
        </w:rPr>
        <w:t xml:space="preserve">±2–4 </w:t>
      </w:r>
      <w:r>
        <w:rPr>
          <w:rFonts w:ascii="Arial" w:hAnsi="Arial" w:eastAsia="Arial" w:cs="Arial"/>
          <w:color w:val="32373F"/>
        </w:rPr>
        <w:t>ADC</w:t>
      </w:r>
      <w:r>
        <w:rPr>
          <w:rFonts w:ascii="Arial" w:hAnsi="Arial" w:eastAsia="Arial" w:cs="Arial"/>
          <w:color w:val="32373F"/>
          <w:spacing w:val="-26"/>
        </w:rPr>
        <w:t xml:space="preserve"> </w:t>
      </w:r>
      <w:r>
        <w:rPr>
          <w:color w:val="32373F"/>
          <w:spacing w:val="2"/>
        </w:rPr>
        <w:t>，</w:t>
      </w:r>
      <w:r>
        <w:rPr>
          <w:color w:val="32373F"/>
          <w:spacing w:val="4"/>
        </w:rPr>
        <w:t xml:space="preserve">反映了温度变化对前端噪声水平的轻微调制效应。部分通道（如 </w:t>
      </w:r>
      <w:r>
        <w:rPr>
          <w:rFonts w:ascii="Arial" w:hAnsi="Arial" w:eastAsia="Arial" w:cs="Arial"/>
          <w:color w:val="32373F"/>
        </w:rPr>
        <w:t>crystal</w:t>
      </w:r>
      <w:r>
        <w:rPr>
          <w:rFonts w:ascii="Arial" w:hAnsi="Arial" w:eastAsia="Arial" w:cs="Arial"/>
          <w:color w:val="32373F"/>
          <w:spacing w:val="4"/>
        </w:rPr>
        <w:t xml:space="preserve"> 3</w:t>
      </w:r>
      <w:r>
        <w:rPr>
          <w:color w:val="32373F"/>
          <w:spacing w:val="4"/>
        </w:rPr>
        <w:t>、</w:t>
      </w:r>
      <w:r>
        <w:rPr>
          <w:rFonts w:ascii="Arial" w:hAnsi="Arial" w:eastAsia="Arial" w:cs="Arial"/>
          <w:color w:val="32373F"/>
          <w:spacing w:val="4"/>
        </w:rPr>
        <w:t>5</w:t>
      </w:r>
      <w:r>
        <w:rPr>
          <w:color w:val="32373F"/>
          <w:spacing w:val="4"/>
        </w:rPr>
        <w:t>、</w:t>
      </w:r>
      <w:r>
        <w:rPr>
          <w:color w:val="32373F"/>
          <w:spacing w:val="-36"/>
        </w:rPr>
        <w:t xml:space="preserve"> </w:t>
      </w:r>
      <w:r>
        <w:rPr>
          <w:rFonts w:ascii="Arial" w:hAnsi="Arial" w:eastAsia="Arial" w:cs="Arial"/>
          <w:color w:val="32373F"/>
          <w:spacing w:val="4"/>
        </w:rPr>
        <w:t>13</w:t>
      </w:r>
      <w:r>
        <w:rPr>
          <w:color w:val="32373F"/>
          <w:spacing w:val="4"/>
        </w:rPr>
        <w:t>、</w:t>
      </w:r>
      <w:r>
        <w:rPr>
          <w:rFonts w:ascii="Arial" w:hAnsi="Arial" w:eastAsia="Arial" w:cs="Arial"/>
          <w:color w:val="32373F"/>
          <w:spacing w:val="4"/>
        </w:rPr>
        <w:t>22</w:t>
      </w:r>
      <w:r>
        <w:rPr>
          <w:color w:val="32373F"/>
          <w:spacing w:val="4"/>
        </w:rPr>
        <w:t>、</w:t>
      </w:r>
      <w:r>
        <w:rPr>
          <w:rFonts w:ascii="Arial" w:hAnsi="Arial" w:eastAsia="Arial" w:cs="Arial"/>
          <w:color w:val="32373F"/>
          <w:spacing w:val="4"/>
        </w:rPr>
        <w:t>23</w:t>
      </w:r>
      <w:r>
        <w:rPr>
          <w:color w:val="32373F"/>
          <w:spacing w:val="4"/>
        </w:rPr>
        <w:t>）的蓝色</w:t>
      </w:r>
      <w:r>
        <w:rPr>
          <w:color w:val="32373F"/>
          <w:spacing w:val="3"/>
        </w:rPr>
        <w:t>曲线</w:t>
      </w:r>
      <w:r>
        <w:rPr>
          <w:color w:val="32373F"/>
          <w:spacing w:val="4"/>
        </w:rPr>
        <w:t xml:space="preserve">波动幅度略大，最大偏离约 </w:t>
      </w:r>
      <w:r>
        <w:rPr>
          <w:rFonts w:ascii="Arial" w:hAnsi="Arial" w:eastAsia="Arial" w:cs="Arial"/>
          <w:color w:val="32373F"/>
          <w:spacing w:val="4"/>
        </w:rPr>
        <w:t xml:space="preserve">±4 </w:t>
      </w:r>
      <w:r>
        <w:rPr>
          <w:rFonts w:ascii="Arial" w:hAnsi="Arial" w:eastAsia="Arial" w:cs="Arial"/>
          <w:color w:val="32373F"/>
        </w:rPr>
        <w:t>ADC</w:t>
      </w:r>
      <w:r>
        <w:rPr>
          <w:color w:val="32373F"/>
          <w:spacing w:val="4"/>
        </w:rPr>
        <w:t>，但均在可接</w:t>
      </w:r>
      <w:r>
        <w:rPr>
          <w:color w:val="32373F"/>
          <w:spacing w:val="3"/>
        </w:rPr>
        <w:t>受范围内，无持续性异常展宽迹象。</w:t>
      </w:r>
    </w:p>
    <w:p w14:paraId="1C40C00A">
      <w:pPr>
        <w:pStyle w:val="2"/>
        <w:spacing w:before="303" w:line="239" w:lineRule="auto"/>
        <w:ind w:left="2" w:right="113"/>
      </w:pPr>
      <w:r>
        <w:rPr>
          <w:b/>
          <w:bCs/>
          <w:color w:val="32373F"/>
          <w:spacing w:val="3"/>
        </w:rPr>
        <w:t>相对波动量（红色</w:t>
      </w:r>
      <w:r>
        <w:rPr>
          <w:b/>
          <w:bCs/>
          <w:color w:val="32373F"/>
          <w:spacing w:val="1"/>
        </w:rPr>
        <w:t>）</w:t>
      </w:r>
      <w:r>
        <w:rPr>
          <w:b/>
          <w:bCs/>
          <w:color w:val="32373F"/>
          <w:spacing w:val="19"/>
        </w:rPr>
        <w:t xml:space="preserve"> </w:t>
      </w:r>
      <w:r>
        <w:rPr>
          <w:color w:val="32373F"/>
          <w:spacing w:val="1"/>
        </w:rPr>
        <w:t>：</w:t>
      </w:r>
      <w:r>
        <w:rPr>
          <w:color w:val="32373F"/>
          <w:spacing w:val="3"/>
        </w:rPr>
        <w:t xml:space="preserve">各通道相对波动幅度多数在 </w:t>
      </w:r>
      <w:r>
        <w:rPr>
          <w:rFonts w:ascii="Arial" w:hAnsi="Arial" w:eastAsia="Arial" w:cs="Arial"/>
          <w:color w:val="32373F"/>
          <w:spacing w:val="3"/>
        </w:rPr>
        <w:t xml:space="preserve">±0.3 </w:t>
      </w:r>
      <w:r>
        <w:rPr>
          <w:color w:val="32373F"/>
          <w:spacing w:val="3"/>
        </w:rPr>
        <w:t>以内，整体波动略大于主份高</w:t>
      </w:r>
      <w:r>
        <w:rPr>
          <w:color w:val="32373F"/>
          <w:spacing w:val="2"/>
        </w:rPr>
        <w:t>增益链路的对应结</w:t>
      </w:r>
      <w:r>
        <w:rPr>
          <w:color w:val="32373F"/>
          <w:spacing w:val="4"/>
        </w:rPr>
        <w:t>果，这与备份链路通道间均值差异较大的特点相一致，属于正常</w:t>
      </w:r>
      <w:r>
        <w:rPr>
          <w:color w:val="32373F"/>
          <w:spacing w:val="3"/>
        </w:rPr>
        <w:t>范围内的通道特性差异。</w:t>
      </w:r>
    </w:p>
    <w:p w14:paraId="0127A241">
      <w:pPr>
        <w:pStyle w:val="2"/>
        <w:spacing w:before="310" w:line="223" w:lineRule="auto"/>
        <w:ind w:left="2" w:firstLine="2"/>
        <w:jc w:val="both"/>
      </w:pPr>
      <w:r>
        <w:rPr>
          <w:color w:val="32373F"/>
          <w:spacing w:val="5"/>
        </w:rPr>
        <w:t>综合来看，备份高增益读出链路在热循环全程的台基分布稳定，台基均值随温度呈规律性周</w:t>
      </w:r>
      <w:r>
        <w:rPr>
          <w:color w:val="32373F"/>
          <w:spacing w:val="4"/>
        </w:rPr>
        <w:t>期变化且可重复恢复，</w:t>
      </w:r>
      <w:r>
        <w:rPr>
          <w:color w:val="32373F"/>
          <w:spacing w:val="-40"/>
        </w:rPr>
        <w:t xml:space="preserve"> </w:t>
      </w:r>
      <w:r>
        <w:rPr>
          <w:rFonts w:ascii="Arial" w:hAnsi="Arial" w:eastAsia="Arial" w:cs="Arial"/>
          <w:color w:val="32373F"/>
          <w:spacing w:val="4"/>
        </w:rPr>
        <w:t xml:space="preserve">σ </w:t>
      </w:r>
      <w:r>
        <w:rPr>
          <w:color w:val="32373F"/>
          <w:spacing w:val="4"/>
        </w:rPr>
        <w:t xml:space="preserve">维持在合理范围内的正常波动，全部 </w:t>
      </w:r>
      <w:r>
        <w:rPr>
          <w:rFonts w:ascii="Arial" w:hAnsi="Arial" w:eastAsia="Arial" w:cs="Arial"/>
          <w:color w:val="32373F"/>
          <w:spacing w:val="4"/>
        </w:rPr>
        <w:t xml:space="preserve">25 </w:t>
      </w:r>
      <w:r>
        <w:rPr>
          <w:color w:val="32373F"/>
          <w:spacing w:val="4"/>
        </w:rPr>
        <w:t>个通道均能正常读出，未发现系统性漂移或不可恢复</w:t>
      </w:r>
      <w:r>
        <w:rPr>
          <w:color w:val="32373F"/>
          <w:spacing w:val="5"/>
        </w:rPr>
        <w:t>的性能退化现象。</w:t>
      </w:r>
      <w:r>
        <w:rPr>
          <w:color w:val="32373F"/>
          <w:spacing w:val="-18"/>
        </w:rPr>
        <w:t xml:space="preserve"> </w:t>
      </w:r>
      <w:r>
        <w:rPr>
          <w:rFonts w:ascii="Arial" w:hAnsi="Arial" w:eastAsia="Arial" w:cs="Arial"/>
          <w:color w:val="32373F"/>
        </w:rPr>
        <w:t>crystal</w:t>
      </w:r>
      <w:r>
        <w:rPr>
          <w:rFonts w:ascii="Arial" w:hAnsi="Arial" w:eastAsia="Arial" w:cs="Arial"/>
          <w:color w:val="32373F"/>
          <w:spacing w:val="25"/>
          <w:w w:val="101"/>
        </w:rPr>
        <w:t xml:space="preserve"> </w:t>
      </w:r>
      <w:r>
        <w:rPr>
          <w:rFonts w:ascii="Arial" w:hAnsi="Arial" w:eastAsia="Arial" w:cs="Arial"/>
          <w:color w:val="32373F"/>
          <w:spacing w:val="5"/>
        </w:rPr>
        <w:t xml:space="preserve">13 </w:t>
      </w:r>
      <w:r>
        <w:rPr>
          <w:color w:val="32373F"/>
          <w:spacing w:val="5"/>
        </w:rPr>
        <w:t>的温度响应异常和</w:t>
      </w:r>
      <w:r>
        <w:rPr>
          <w:rFonts w:ascii="Arial" w:hAnsi="Arial" w:eastAsia="Arial" w:cs="Arial"/>
          <w:color w:val="32373F"/>
        </w:rPr>
        <w:t>crystal</w:t>
      </w:r>
      <w:r>
        <w:rPr>
          <w:rFonts w:ascii="Arial" w:hAnsi="Arial" w:eastAsia="Arial" w:cs="Arial"/>
          <w:color w:val="32373F"/>
          <w:spacing w:val="5"/>
        </w:rPr>
        <w:t xml:space="preserve"> 24 </w:t>
      </w:r>
      <w:r>
        <w:rPr>
          <w:color w:val="32373F"/>
          <w:spacing w:val="5"/>
        </w:rPr>
        <w:t>的阶梯跳变建议结合遥测日志进一步核</w:t>
      </w:r>
      <w:r>
        <w:rPr>
          <w:color w:val="32373F"/>
          <w:spacing w:val="4"/>
        </w:rPr>
        <w:t>查，整</w:t>
      </w:r>
      <w:r>
        <w:rPr>
          <w:color w:val="32373F"/>
          <w:spacing w:val="3"/>
        </w:rPr>
        <w:t>体而言备份高增益链路的基线稳定性满足预期</w:t>
      </w:r>
      <w:r>
        <w:rPr>
          <w:color w:val="32373F"/>
          <w:spacing w:val="2"/>
        </w:rPr>
        <w:t>要求。</w:t>
      </w:r>
    </w:p>
    <w:p w14:paraId="1DD2E7EE">
      <w:pPr>
        <w:pStyle w:val="2"/>
        <w:spacing w:before="323" w:line="186" w:lineRule="auto"/>
        <w:ind w:left="9"/>
        <w:outlineLvl w:val="3"/>
      </w:pPr>
      <w:r>
        <w:rPr>
          <w:rFonts w:ascii="Arial" w:hAnsi="Arial" w:eastAsia="Arial" w:cs="Arial"/>
          <w:b/>
          <w:bCs/>
          <w:color w:val="32373F"/>
          <w:spacing w:val="3"/>
        </w:rPr>
        <w:t xml:space="preserve">5.1.4 </w:t>
      </w:r>
      <w:r>
        <w:rPr>
          <w:b/>
          <w:bCs/>
          <w:color w:val="32373F"/>
          <w:spacing w:val="3"/>
        </w:rPr>
        <w:t>备份低增益基线及时间稳定性</w:t>
      </w:r>
    </w:p>
    <w:p w14:paraId="2512A5E1">
      <w:pPr>
        <w:spacing w:line="186" w:lineRule="auto"/>
        <w:sectPr>
          <w:pgSz w:w="11919" w:h="16858"/>
          <w:pgMar w:top="400" w:right="783" w:bottom="0" w:left="785" w:header="0" w:footer="0" w:gutter="0"/>
          <w:cols w:space="720" w:num="1"/>
        </w:sectPr>
      </w:pPr>
    </w:p>
    <w:p w14:paraId="5C867FFD">
      <w:pPr>
        <w:spacing w:before="160" w:line="10185" w:lineRule="exact"/>
      </w:pPr>
      <w:r>
        <w:rPr>
          <w:position w:val="-203"/>
        </w:rPr>
        <w:drawing>
          <wp:inline distT="0" distB="0" distL="0" distR="0">
            <wp:extent cx="6572250" cy="6467475"/>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37"/>
                    <a:stretch>
                      <a:fillRect/>
                    </a:stretch>
                  </pic:blipFill>
                  <pic:spPr>
                    <a:xfrm>
                      <a:off x="0" y="0"/>
                      <a:ext cx="6572250" cy="6467475"/>
                    </a:xfrm>
                    <a:prstGeom prst="rect">
                      <a:avLst/>
                    </a:prstGeom>
                  </pic:spPr>
                </pic:pic>
              </a:graphicData>
            </a:graphic>
          </wp:inline>
        </w:drawing>
      </w:r>
    </w:p>
    <w:p w14:paraId="487EED74">
      <w:pPr>
        <w:pStyle w:val="2"/>
        <w:spacing w:before="321" w:line="239" w:lineRule="auto"/>
        <w:ind w:left="1" w:right="122" w:firstLine="1"/>
      </w:pPr>
      <w:r>
        <w:rPr>
          <w:color w:val="32373F"/>
          <w:spacing w:val="4"/>
        </w:rPr>
        <w:t xml:space="preserve">该图展示了高温保持阶段 </w:t>
      </w:r>
      <w:r>
        <w:rPr>
          <w:rFonts w:ascii="Arial" w:hAnsi="Arial" w:eastAsia="Arial" w:cs="Arial"/>
          <w:color w:val="32373F"/>
        </w:rPr>
        <w:t>Calo</w:t>
      </w:r>
      <w:r>
        <w:rPr>
          <w:rFonts w:ascii="Arial" w:hAnsi="Arial" w:eastAsia="Arial" w:cs="Arial"/>
          <w:color w:val="32373F"/>
          <w:spacing w:val="4"/>
        </w:rPr>
        <w:t xml:space="preserve"> </w:t>
      </w:r>
      <w:r>
        <w:rPr>
          <w:color w:val="32373F"/>
          <w:spacing w:val="4"/>
        </w:rPr>
        <w:t>备份低增益（</w:t>
      </w:r>
      <w:r>
        <w:rPr>
          <w:rFonts w:ascii="Arial" w:hAnsi="Arial" w:eastAsia="Arial" w:cs="Arial"/>
          <w:color w:val="32373F"/>
        </w:rPr>
        <w:t>Backup</w:t>
      </w:r>
      <w:r>
        <w:rPr>
          <w:rFonts w:ascii="Arial" w:hAnsi="Arial" w:eastAsia="Arial" w:cs="Arial"/>
          <w:color w:val="32373F"/>
          <w:spacing w:val="27"/>
        </w:rPr>
        <w:t xml:space="preserve"> </w:t>
      </w:r>
      <w:r>
        <w:rPr>
          <w:rFonts w:ascii="Arial" w:hAnsi="Arial" w:eastAsia="Arial" w:cs="Arial"/>
          <w:color w:val="32373F"/>
        </w:rPr>
        <w:t>Low</w:t>
      </w:r>
      <w:r>
        <w:rPr>
          <w:color w:val="32373F"/>
          <w:spacing w:val="4"/>
        </w:rPr>
        <w:t xml:space="preserve">）读出链路 </w:t>
      </w:r>
      <w:r>
        <w:rPr>
          <w:rFonts w:ascii="Arial" w:hAnsi="Arial" w:eastAsia="Arial" w:cs="Arial"/>
          <w:color w:val="32373F"/>
          <w:spacing w:val="4"/>
        </w:rPr>
        <w:t xml:space="preserve">25 </w:t>
      </w:r>
      <w:r>
        <w:rPr>
          <w:color w:val="32373F"/>
          <w:spacing w:val="4"/>
        </w:rPr>
        <w:t>个晶体单元的台基（</w:t>
      </w:r>
      <w:r>
        <w:rPr>
          <w:rFonts w:ascii="Arial" w:hAnsi="Arial" w:eastAsia="Arial" w:cs="Arial"/>
          <w:color w:val="32373F"/>
        </w:rPr>
        <w:t>Pedestal</w:t>
      </w:r>
      <w:r>
        <w:rPr>
          <w:color w:val="32373F"/>
          <w:spacing w:val="4"/>
        </w:rPr>
        <w:t>）</w:t>
      </w:r>
      <w:r>
        <w:rPr>
          <w:color w:val="32373F"/>
          <w:spacing w:val="-8"/>
        </w:rPr>
        <w:t>分布。</w:t>
      </w:r>
    </w:p>
    <w:p w14:paraId="3B8AD043">
      <w:pPr>
        <w:pStyle w:val="2"/>
        <w:spacing w:before="309" w:line="241" w:lineRule="auto"/>
        <w:ind w:left="2"/>
        <w:jc w:val="both"/>
      </w:pPr>
      <w:r>
        <w:rPr>
          <w:color w:val="32373F"/>
          <w:spacing w:val="5"/>
        </w:rPr>
        <w:t>与主份低增益链路类似，各通道纵轴采用对数坐标呈现，台基分布均表现为极窄的单峰结构，</w:t>
      </w:r>
      <w:r>
        <w:rPr>
          <w:color w:val="32373F"/>
          <w:spacing w:val="4"/>
        </w:rPr>
        <w:t>红色高斯拟</w:t>
      </w:r>
      <w:r>
        <w:rPr>
          <w:color w:val="32373F"/>
          <w:spacing w:val="5"/>
        </w:rPr>
        <w:t>合曲线与数据点高度吻合，峰形尖锐对称，无双峰、异常展宽或离散噪声峰，表明备份低增益读</w:t>
      </w:r>
      <w:r>
        <w:rPr>
          <w:color w:val="32373F"/>
          <w:spacing w:val="4"/>
        </w:rPr>
        <w:t>出链路在</w:t>
      </w:r>
      <w:r>
        <w:rPr>
          <w:color w:val="32373F"/>
          <w:spacing w:val="3"/>
        </w:rPr>
        <w:t xml:space="preserve">高温保持阶段整体工作状态良好，全部 </w:t>
      </w:r>
      <w:r>
        <w:rPr>
          <w:rFonts w:ascii="Arial" w:hAnsi="Arial" w:eastAsia="Arial" w:cs="Arial"/>
          <w:color w:val="32373F"/>
          <w:spacing w:val="3"/>
        </w:rPr>
        <w:t xml:space="preserve">25 </w:t>
      </w:r>
      <w:r>
        <w:rPr>
          <w:color w:val="32373F"/>
          <w:spacing w:val="3"/>
        </w:rPr>
        <w:t>个通道均</w:t>
      </w:r>
      <w:r>
        <w:rPr>
          <w:color w:val="32373F"/>
          <w:spacing w:val="2"/>
        </w:rPr>
        <w:t>正常读出。</w:t>
      </w:r>
    </w:p>
    <w:p w14:paraId="2973DD7B">
      <w:pPr>
        <w:pStyle w:val="2"/>
        <w:spacing w:before="216" w:line="229" w:lineRule="auto"/>
        <w:ind w:right="23" w:firstLine="1"/>
      </w:pPr>
      <w:r>
        <w:rPr>
          <w:color w:val="32373F"/>
          <w:spacing w:val="4"/>
        </w:rPr>
        <w:t>各通道台基均值（</w:t>
      </w:r>
      <w:r>
        <w:rPr>
          <w:rFonts w:ascii="Arial" w:hAnsi="Arial" w:eastAsia="Arial" w:cs="Arial"/>
          <w:color w:val="32373F"/>
        </w:rPr>
        <w:t>Mean</w:t>
      </w:r>
      <w:r>
        <w:rPr>
          <w:color w:val="32373F"/>
          <w:spacing w:val="4"/>
        </w:rPr>
        <w:t>）分布在约</w:t>
      </w:r>
      <w:r>
        <w:rPr>
          <w:color w:val="32373F"/>
          <w:spacing w:val="20"/>
        </w:rPr>
        <w:t xml:space="preserve"> </w:t>
      </w:r>
      <w:r>
        <w:rPr>
          <w:rFonts w:ascii="Arial" w:hAnsi="Arial" w:eastAsia="Arial" w:cs="Arial"/>
          <w:color w:val="32373F"/>
          <w:spacing w:val="4"/>
        </w:rPr>
        <w:t xml:space="preserve">799–1431 </w:t>
      </w:r>
      <w:r>
        <w:rPr>
          <w:rFonts w:ascii="Arial" w:hAnsi="Arial" w:eastAsia="Arial" w:cs="Arial"/>
          <w:color w:val="32373F"/>
        </w:rPr>
        <w:t>ADC</w:t>
      </w:r>
      <w:r>
        <w:rPr>
          <w:rFonts w:ascii="Arial" w:hAnsi="Arial" w:eastAsia="Arial" w:cs="Arial"/>
          <w:color w:val="32373F"/>
          <w:spacing w:val="4"/>
        </w:rPr>
        <w:t xml:space="preserve"> </w:t>
      </w:r>
      <w:r>
        <w:rPr>
          <w:color w:val="32373F"/>
          <w:spacing w:val="4"/>
        </w:rPr>
        <w:t>之间，与主份低增益链路（</w:t>
      </w:r>
      <w:r>
        <w:rPr>
          <w:rFonts w:ascii="Arial" w:hAnsi="Arial" w:eastAsia="Arial" w:cs="Arial"/>
          <w:color w:val="32373F"/>
          <w:spacing w:val="4"/>
        </w:rPr>
        <w:t>642–140</w:t>
      </w:r>
      <w:r>
        <w:rPr>
          <w:rFonts w:ascii="Arial" w:hAnsi="Arial" w:eastAsia="Arial" w:cs="Arial"/>
          <w:color w:val="32373F"/>
          <w:spacing w:val="3"/>
        </w:rPr>
        <w:t xml:space="preserve">6 </w:t>
      </w:r>
      <w:r>
        <w:rPr>
          <w:rFonts w:ascii="Arial" w:hAnsi="Arial" w:eastAsia="Arial" w:cs="Arial"/>
          <w:color w:val="32373F"/>
        </w:rPr>
        <w:t>ADC</w:t>
      </w:r>
      <w:r>
        <w:rPr>
          <w:color w:val="32373F"/>
          <w:spacing w:val="3"/>
        </w:rPr>
        <w:t>）的范围</w:t>
      </w:r>
      <w:r>
        <w:rPr>
          <w:color w:val="32373F"/>
          <w:spacing w:val="4"/>
        </w:rPr>
        <w:t xml:space="preserve">相近，通道间固有偏置差异属于读出链路各自电子学特性的正常体现。高斯拟合 </w:t>
      </w:r>
      <w:r>
        <w:rPr>
          <w:rFonts w:ascii="Arial" w:hAnsi="Arial" w:eastAsia="Arial" w:cs="Arial"/>
          <w:color w:val="32373F"/>
          <w:spacing w:val="4"/>
        </w:rPr>
        <w:t xml:space="preserve">σ </w:t>
      </w:r>
      <w:r>
        <w:rPr>
          <w:color w:val="32373F"/>
          <w:spacing w:val="4"/>
        </w:rPr>
        <w:t xml:space="preserve">值集中在约 </w:t>
      </w:r>
      <w:r>
        <w:rPr>
          <w:rFonts w:ascii="Arial" w:hAnsi="Arial" w:eastAsia="Arial" w:cs="Arial"/>
          <w:color w:val="32373F"/>
          <w:spacing w:val="4"/>
        </w:rPr>
        <w:t>2.96–3.98</w:t>
      </w:r>
      <w:r>
        <w:rPr>
          <w:rFonts w:ascii="Arial" w:hAnsi="Arial" w:eastAsia="Arial" w:cs="Arial"/>
          <w:color w:val="32373F"/>
          <w:spacing w:val="7"/>
        </w:rPr>
        <w:t xml:space="preserve"> </w:t>
      </w:r>
      <w:r>
        <w:rPr>
          <w:rFonts w:ascii="Arial" w:hAnsi="Arial" w:eastAsia="Arial" w:cs="Arial"/>
          <w:color w:val="32373F"/>
        </w:rPr>
        <w:t>ADC</w:t>
      </w:r>
      <w:r>
        <w:rPr>
          <w:rFonts w:ascii="Arial" w:hAnsi="Arial" w:eastAsia="Arial" w:cs="Arial"/>
          <w:color w:val="32373F"/>
          <w:spacing w:val="4"/>
        </w:rPr>
        <w:t xml:space="preserve"> </w:t>
      </w:r>
      <w:r>
        <w:rPr>
          <w:color w:val="32373F"/>
          <w:spacing w:val="4"/>
        </w:rPr>
        <w:t>之间，整体略低于主份低增益链路（</w:t>
      </w:r>
      <w:r>
        <w:rPr>
          <w:rFonts w:ascii="Arial" w:hAnsi="Arial" w:eastAsia="Arial" w:cs="Arial"/>
          <w:color w:val="32373F"/>
          <w:spacing w:val="4"/>
        </w:rPr>
        <w:t xml:space="preserve">3.20–4.00 </w:t>
      </w:r>
      <w:r>
        <w:rPr>
          <w:rFonts w:ascii="Arial" w:hAnsi="Arial" w:eastAsia="Arial" w:cs="Arial"/>
          <w:color w:val="32373F"/>
        </w:rPr>
        <w:t>ADC</w:t>
      </w:r>
      <w:r>
        <w:rPr>
          <w:color w:val="32373F"/>
          <w:spacing w:val="5"/>
        </w:rPr>
        <w:t>），</w:t>
      </w:r>
      <w:r>
        <w:rPr>
          <w:color w:val="32373F"/>
          <w:spacing w:val="4"/>
        </w:rPr>
        <w:t xml:space="preserve">与备份高增益链路的 </w:t>
      </w:r>
      <w:r>
        <w:rPr>
          <w:rFonts w:ascii="Arial" w:hAnsi="Arial" w:eastAsia="Arial" w:cs="Arial"/>
          <w:color w:val="32373F"/>
          <w:spacing w:val="4"/>
        </w:rPr>
        <w:t>σ</w:t>
      </w:r>
      <w:r>
        <w:rPr>
          <w:color w:val="32373F"/>
          <w:spacing w:val="4"/>
        </w:rPr>
        <w:t>（</w:t>
      </w:r>
      <w:r>
        <w:rPr>
          <w:rFonts w:ascii="Arial" w:hAnsi="Arial" w:eastAsia="Arial" w:cs="Arial"/>
          <w:color w:val="32373F"/>
          <w:spacing w:val="4"/>
        </w:rPr>
        <w:t xml:space="preserve">22.9–25.5 </w:t>
      </w:r>
      <w:r>
        <w:rPr>
          <w:rFonts w:ascii="Arial" w:hAnsi="Arial" w:eastAsia="Arial" w:cs="Arial"/>
          <w:color w:val="32373F"/>
        </w:rPr>
        <w:t>ADC</w:t>
      </w:r>
      <w:r>
        <w:rPr>
          <w:color w:val="32373F"/>
          <w:spacing w:val="4"/>
        </w:rPr>
        <w:t>）</w:t>
      </w:r>
      <w:r>
        <w:rPr>
          <w:color w:val="32373F"/>
          <w:spacing w:val="5"/>
        </w:rPr>
        <w:t xml:space="preserve">之间同样维持约 </w:t>
      </w:r>
      <w:r>
        <w:rPr>
          <w:rFonts w:ascii="Arial" w:hAnsi="Arial" w:eastAsia="Arial" w:cs="Arial"/>
          <w:color w:val="32373F"/>
          <w:spacing w:val="5"/>
        </w:rPr>
        <w:t xml:space="preserve">7–8 </w:t>
      </w:r>
      <w:r>
        <w:rPr>
          <w:color w:val="32373F"/>
          <w:spacing w:val="5"/>
        </w:rPr>
        <w:t>倍的增益比关系，折算至相同增益尺度</w:t>
      </w:r>
      <w:r>
        <w:rPr>
          <w:color w:val="32373F"/>
          <w:spacing w:val="4"/>
        </w:rPr>
        <w:t>后两档增益链路的等效基线宽度处于同一水</w:t>
      </w:r>
      <w:r>
        <w:rPr>
          <w:color w:val="32373F"/>
          <w:spacing w:val="-1"/>
        </w:rPr>
        <w:t>平，噪声性能正常。</w:t>
      </w:r>
    </w:p>
    <w:p w14:paraId="41CAF92A">
      <w:pPr>
        <w:pStyle w:val="2"/>
        <w:spacing w:before="325" w:line="187" w:lineRule="auto"/>
        <w:ind w:left="4"/>
      </w:pPr>
      <w:r>
        <w:rPr>
          <w:b/>
          <w:bCs/>
          <w:color w:val="32373F"/>
          <w:spacing w:val="5"/>
        </w:rPr>
        <w:t>高斯拟合</w:t>
      </w:r>
      <w:r>
        <w:rPr>
          <w:rFonts w:ascii="Arial" w:hAnsi="Arial" w:eastAsia="Arial" w:cs="Arial"/>
          <w:b/>
          <w:bCs/>
          <w:color w:val="32373F"/>
        </w:rPr>
        <w:t>mean</w:t>
      </w:r>
      <w:r>
        <w:rPr>
          <w:b/>
          <w:bCs/>
          <w:color w:val="32373F"/>
          <w:spacing w:val="5"/>
        </w:rPr>
        <w:t>值时间稳定性</w:t>
      </w:r>
    </w:p>
    <w:p w14:paraId="01AADBD1">
      <w:pPr>
        <w:spacing w:line="187" w:lineRule="auto"/>
        <w:sectPr>
          <w:pgSz w:w="11919" w:h="16858"/>
          <w:pgMar w:top="400" w:right="783" w:bottom="0" w:left="785" w:header="0" w:footer="0" w:gutter="0"/>
          <w:cols w:space="720" w:num="1"/>
        </w:sectPr>
      </w:pPr>
    </w:p>
    <w:p w14:paraId="0114D5F1">
      <w:pPr>
        <w:spacing w:before="160" w:line="8864" w:lineRule="exact"/>
      </w:pPr>
      <w:r>
        <w:rPr>
          <w:position w:val="-177"/>
        </w:rPr>
        <w:drawing>
          <wp:inline distT="0" distB="0" distL="0" distR="0">
            <wp:extent cx="6572250" cy="5628640"/>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38"/>
                    <a:stretch>
                      <a:fillRect/>
                    </a:stretch>
                  </pic:blipFill>
                  <pic:spPr>
                    <a:xfrm>
                      <a:off x="0" y="0"/>
                      <a:ext cx="6572250" cy="5629267"/>
                    </a:xfrm>
                    <a:prstGeom prst="rect">
                      <a:avLst/>
                    </a:prstGeom>
                  </pic:spPr>
                </pic:pic>
              </a:graphicData>
            </a:graphic>
          </wp:inline>
        </w:drawing>
      </w:r>
    </w:p>
    <w:p w14:paraId="4934C13F">
      <w:pPr>
        <w:pStyle w:val="2"/>
        <w:spacing w:before="320" w:line="239" w:lineRule="auto"/>
        <w:ind w:left="3" w:right="36"/>
      </w:pPr>
      <w:r>
        <w:rPr>
          <w:color w:val="32373F"/>
          <w:spacing w:val="2"/>
        </w:rPr>
        <w:t xml:space="preserve">该图展示了 </w:t>
      </w:r>
      <w:r>
        <w:rPr>
          <w:rFonts w:ascii="Arial" w:hAnsi="Arial" w:eastAsia="Arial" w:cs="Arial"/>
          <w:color w:val="32373F"/>
          <w:spacing w:val="2"/>
        </w:rPr>
        <w:t xml:space="preserve">3 </w:t>
      </w:r>
      <w:r>
        <w:rPr>
          <w:color w:val="32373F"/>
          <w:spacing w:val="2"/>
        </w:rPr>
        <w:t>月</w:t>
      </w:r>
      <w:r>
        <w:rPr>
          <w:color w:val="32373F"/>
          <w:spacing w:val="39"/>
        </w:rPr>
        <w:t xml:space="preserve"> </w:t>
      </w:r>
      <w:r>
        <w:rPr>
          <w:rFonts w:ascii="Arial" w:hAnsi="Arial" w:eastAsia="Arial" w:cs="Arial"/>
          <w:color w:val="32373F"/>
          <w:spacing w:val="2"/>
        </w:rPr>
        <w:t>16</w:t>
      </w:r>
      <w:r>
        <w:rPr>
          <w:rFonts w:ascii="Arial" w:hAnsi="Arial" w:eastAsia="Arial" w:cs="Arial"/>
          <w:color w:val="32373F"/>
          <w:spacing w:val="36"/>
        </w:rPr>
        <w:t xml:space="preserve"> </w:t>
      </w:r>
      <w:r>
        <w:rPr>
          <w:color w:val="32373F"/>
          <w:spacing w:val="2"/>
        </w:rPr>
        <w:t xml:space="preserve">日至 </w:t>
      </w:r>
      <w:r>
        <w:rPr>
          <w:rFonts w:ascii="Arial" w:hAnsi="Arial" w:eastAsia="Arial" w:cs="Arial"/>
          <w:color w:val="32373F"/>
          <w:spacing w:val="2"/>
        </w:rPr>
        <w:t>23</w:t>
      </w:r>
      <w:r>
        <w:rPr>
          <w:rFonts w:ascii="Arial" w:hAnsi="Arial" w:eastAsia="Arial" w:cs="Arial"/>
          <w:color w:val="32373F"/>
          <w:spacing w:val="36"/>
        </w:rPr>
        <w:t xml:space="preserve"> </w:t>
      </w:r>
      <w:r>
        <w:rPr>
          <w:color w:val="32373F"/>
          <w:spacing w:val="2"/>
        </w:rPr>
        <w:t>日完整热循环期间，</w:t>
      </w:r>
      <w:r>
        <w:rPr>
          <w:rFonts w:ascii="Arial" w:hAnsi="Arial" w:eastAsia="Arial" w:cs="Arial"/>
          <w:color w:val="32373F"/>
          <w:spacing w:val="2"/>
        </w:rPr>
        <w:t xml:space="preserve">25 </w:t>
      </w:r>
      <w:r>
        <w:rPr>
          <w:color w:val="32373F"/>
          <w:spacing w:val="2"/>
        </w:rPr>
        <w:t>个晶体单元备份低增益台基均值（蓝色点，左轴）及</w:t>
      </w:r>
      <w:r>
        <w:rPr>
          <w:color w:val="32373F"/>
          <w:spacing w:val="3"/>
        </w:rPr>
        <w:t>其相对波动量（红色线，右轴）的时间演化。从图中可以看出：</w:t>
      </w:r>
    </w:p>
    <w:p w14:paraId="20EEFD35">
      <w:pPr>
        <w:pStyle w:val="2"/>
        <w:spacing w:before="310" w:line="226" w:lineRule="auto"/>
        <w:ind w:left="2" w:firstLine="4"/>
      </w:pPr>
      <w:r>
        <w:rPr>
          <w:b/>
          <w:bCs/>
          <w:color w:val="32373F"/>
          <w:spacing w:val="3"/>
        </w:rPr>
        <w:t>台基均值（蓝色</w:t>
      </w:r>
      <w:r>
        <w:rPr>
          <w:b/>
          <w:bCs/>
          <w:color w:val="32373F"/>
          <w:spacing w:val="7"/>
        </w:rPr>
        <w:t>）</w:t>
      </w:r>
      <w:r>
        <w:rPr>
          <w:b/>
          <w:bCs/>
          <w:color w:val="32373F"/>
          <w:spacing w:val="10"/>
        </w:rPr>
        <w:t xml:space="preserve"> </w:t>
      </w:r>
      <w:r>
        <w:rPr>
          <w:color w:val="32373F"/>
          <w:spacing w:val="7"/>
        </w:rPr>
        <w:t>：</w:t>
      </w:r>
      <w:r>
        <w:rPr>
          <w:color w:val="32373F"/>
          <w:spacing w:val="3"/>
        </w:rPr>
        <w:t>备份低增益链路的台基均值时间演化呈现出与其他三组读出链路高度一致的规律，即</w:t>
      </w:r>
      <w:r>
        <w:rPr>
          <w:color w:val="32373F"/>
          <w:spacing w:val="5"/>
        </w:rPr>
        <w:t xml:space="preserve">随热循环温度剖面呈现清晰的周期性振荡，振荡幅度约为 </w:t>
      </w:r>
      <w:r>
        <w:rPr>
          <w:rFonts w:ascii="Arial" w:hAnsi="Arial" w:eastAsia="Arial" w:cs="Arial"/>
          <w:color w:val="32373F"/>
          <w:spacing w:val="4"/>
        </w:rPr>
        <w:t xml:space="preserve">±20–60 </w:t>
      </w:r>
      <w:r>
        <w:rPr>
          <w:rFonts w:ascii="Arial" w:hAnsi="Arial" w:eastAsia="Arial" w:cs="Arial"/>
          <w:color w:val="32373F"/>
        </w:rPr>
        <w:t>ADC</w:t>
      </w:r>
      <w:r>
        <w:rPr>
          <w:color w:val="32373F"/>
          <w:spacing w:val="4"/>
        </w:rPr>
        <w:t>，在所有通道中具有良好的重复</w:t>
      </w:r>
      <w:r>
        <w:rPr>
          <w:color w:val="32373F"/>
        </w:rPr>
        <w:t xml:space="preserve"> </w:t>
      </w:r>
      <w:r>
        <w:rPr>
          <w:color w:val="32373F"/>
          <w:spacing w:val="3"/>
        </w:rPr>
        <w:t>性。值得注意的是，部分通道的温度响应幅度明显偏小甚至接近水平</w:t>
      </w:r>
      <w:r>
        <w:rPr>
          <w:color w:val="32373F"/>
          <w:spacing w:val="2"/>
        </w:rPr>
        <w:t xml:space="preserve">（如 </w:t>
      </w:r>
      <w:r>
        <w:rPr>
          <w:rFonts w:ascii="Arial" w:hAnsi="Arial" w:eastAsia="Arial" w:cs="Arial"/>
          <w:color w:val="32373F"/>
        </w:rPr>
        <w:t>crystal</w:t>
      </w:r>
      <w:r>
        <w:rPr>
          <w:rFonts w:ascii="Arial" w:hAnsi="Arial" w:eastAsia="Arial" w:cs="Arial"/>
          <w:color w:val="32373F"/>
          <w:spacing w:val="2"/>
        </w:rPr>
        <w:t xml:space="preserve"> 7</w:t>
      </w:r>
      <w:r>
        <w:rPr>
          <w:color w:val="32373F"/>
          <w:spacing w:val="2"/>
        </w:rPr>
        <w:t>、</w:t>
      </w:r>
      <w:r>
        <w:rPr>
          <w:rFonts w:ascii="Arial" w:hAnsi="Arial" w:eastAsia="Arial" w:cs="Arial"/>
          <w:color w:val="32373F"/>
          <w:spacing w:val="2"/>
        </w:rPr>
        <w:t>8</w:t>
      </w:r>
      <w:r>
        <w:rPr>
          <w:color w:val="32373F"/>
          <w:spacing w:val="2"/>
        </w:rPr>
        <w:t>、</w:t>
      </w:r>
      <w:r>
        <w:rPr>
          <w:color w:val="32373F"/>
          <w:spacing w:val="-35"/>
        </w:rPr>
        <w:t xml:space="preserve"> </w:t>
      </w:r>
      <w:r>
        <w:rPr>
          <w:rFonts w:ascii="Arial" w:hAnsi="Arial" w:eastAsia="Arial" w:cs="Arial"/>
          <w:color w:val="32373F"/>
          <w:spacing w:val="2"/>
        </w:rPr>
        <w:t>14</w:t>
      </w:r>
      <w:r>
        <w:rPr>
          <w:color w:val="32373F"/>
          <w:spacing w:val="2"/>
        </w:rPr>
        <w:t>、</w:t>
      </w:r>
      <w:r>
        <w:rPr>
          <w:color w:val="32373F"/>
          <w:spacing w:val="-36"/>
        </w:rPr>
        <w:t xml:space="preserve"> </w:t>
      </w:r>
      <w:r>
        <w:rPr>
          <w:rFonts w:ascii="Arial" w:hAnsi="Arial" w:eastAsia="Arial" w:cs="Arial"/>
          <w:color w:val="32373F"/>
          <w:spacing w:val="2"/>
        </w:rPr>
        <w:t>16</w:t>
      </w:r>
      <w:r>
        <w:rPr>
          <w:color w:val="32373F"/>
          <w:spacing w:val="2"/>
        </w:rPr>
        <w:t>、</w:t>
      </w:r>
      <w:r>
        <w:rPr>
          <w:color w:val="32373F"/>
          <w:spacing w:val="-35"/>
        </w:rPr>
        <w:t xml:space="preserve"> </w:t>
      </w:r>
      <w:r>
        <w:rPr>
          <w:rFonts w:ascii="Arial" w:hAnsi="Arial" w:eastAsia="Arial" w:cs="Arial"/>
          <w:color w:val="32373F"/>
          <w:spacing w:val="2"/>
        </w:rPr>
        <w:t>17</w:t>
      </w:r>
      <w:r>
        <w:rPr>
          <w:color w:val="32373F"/>
        </w:rPr>
        <w:t>），</w:t>
      </w:r>
      <w:r>
        <w:rPr>
          <w:color w:val="32373F"/>
          <w:spacing w:val="3"/>
        </w:rPr>
        <w:t xml:space="preserve">蓝色曲线几乎不随温度振荡，与其他通道存在明显差异；而 </w:t>
      </w:r>
      <w:r>
        <w:rPr>
          <w:rFonts w:ascii="Arial" w:hAnsi="Arial" w:eastAsia="Arial" w:cs="Arial"/>
          <w:color w:val="32373F"/>
        </w:rPr>
        <w:t>crystal</w:t>
      </w:r>
      <w:r>
        <w:rPr>
          <w:rFonts w:ascii="Arial" w:hAnsi="Arial" w:eastAsia="Arial" w:cs="Arial"/>
          <w:color w:val="32373F"/>
          <w:spacing w:val="3"/>
        </w:rPr>
        <w:t xml:space="preserve"> 9 </w:t>
      </w:r>
      <w:r>
        <w:rPr>
          <w:color w:val="32373F"/>
          <w:spacing w:val="3"/>
        </w:rPr>
        <w:t xml:space="preserve">的台基均值在 </w:t>
      </w:r>
      <w:r>
        <w:rPr>
          <w:rFonts w:ascii="Arial" w:hAnsi="Arial" w:eastAsia="Arial" w:cs="Arial"/>
          <w:color w:val="32373F"/>
          <w:spacing w:val="3"/>
        </w:rPr>
        <w:t xml:space="preserve">3 </w:t>
      </w:r>
      <w:r>
        <w:rPr>
          <w:color w:val="32373F"/>
          <w:spacing w:val="3"/>
        </w:rPr>
        <w:t>月</w:t>
      </w:r>
      <w:r>
        <w:rPr>
          <w:color w:val="32373F"/>
          <w:spacing w:val="32"/>
          <w:w w:val="101"/>
        </w:rPr>
        <w:t xml:space="preserve"> </w:t>
      </w:r>
      <w:r>
        <w:rPr>
          <w:rFonts w:ascii="Arial" w:hAnsi="Arial" w:eastAsia="Arial" w:cs="Arial"/>
          <w:color w:val="32373F"/>
          <w:spacing w:val="3"/>
        </w:rPr>
        <w:t>19</w:t>
      </w:r>
      <w:r>
        <w:rPr>
          <w:rFonts w:ascii="Arial" w:hAnsi="Arial" w:eastAsia="Arial" w:cs="Arial"/>
          <w:color w:val="32373F"/>
          <w:spacing w:val="36"/>
        </w:rPr>
        <w:t xml:space="preserve"> </w:t>
      </w:r>
      <w:r>
        <w:rPr>
          <w:color w:val="32373F"/>
          <w:spacing w:val="3"/>
        </w:rPr>
        <w:t>日前后出现阶梯式抬升约</w:t>
      </w:r>
      <w:r>
        <w:rPr>
          <w:color w:val="32373F"/>
          <w:spacing w:val="36"/>
          <w:w w:val="101"/>
        </w:rPr>
        <w:t xml:space="preserve"> </w:t>
      </w:r>
      <w:r>
        <w:rPr>
          <w:rFonts w:ascii="Arial" w:hAnsi="Arial" w:eastAsia="Arial" w:cs="Arial"/>
          <w:color w:val="32373F"/>
          <w:spacing w:val="3"/>
        </w:rPr>
        <w:t xml:space="preserve">100 </w:t>
      </w:r>
      <w:r>
        <w:rPr>
          <w:rFonts w:ascii="Arial" w:hAnsi="Arial" w:eastAsia="Arial" w:cs="Arial"/>
          <w:color w:val="32373F"/>
        </w:rPr>
        <w:t>ADC</w:t>
      </w:r>
      <w:r>
        <w:rPr>
          <w:rFonts w:ascii="Arial" w:hAnsi="Arial" w:eastAsia="Arial" w:cs="Arial"/>
          <w:color w:val="32373F"/>
          <w:spacing w:val="3"/>
        </w:rPr>
        <w:t xml:space="preserve"> </w:t>
      </w:r>
      <w:r>
        <w:rPr>
          <w:color w:val="32373F"/>
          <w:spacing w:val="3"/>
        </w:rPr>
        <w:t>并维持至监测结束，不具有可逆性，建议重点关注并结合状态量日志排查原因。</w:t>
      </w:r>
    </w:p>
    <w:p w14:paraId="538661CC">
      <w:pPr>
        <w:pStyle w:val="2"/>
        <w:spacing w:before="22" w:line="187" w:lineRule="auto"/>
        <w:ind w:left="3"/>
      </w:pPr>
      <w:r>
        <w:rPr>
          <w:color w:val="32373F"/>
          <w:spacing w:val="3"/>
        </w:rPr>
        <w:t>其余通道均在每个温度循环后可重复回归，未见系统性单向漂移。</w:t>
      </w:r>
    </w:p>
    <w:p w14:paraId="62A1E76B">
      <w:pPr>
        <w:spacing w:line="243" w:lineRule="auto"/>
        <w:rPr>
          <w:rFonts w:ascii="Arial"/>
          <w:sz w:val="21"/>
        </w:rPr>
      </w:pPr>
    </w:p>
    <w:p w14:paraId="03F1582D">
      <w:pPr>
        <w:pStyle w:val="2"/>
        <w:spacing w:before="95" w:line="230" w:lineRule="auto"/>
        <w:ind w:left="2" w:right="71"/>
      </w:pPr>
      <w:r>
        <w:rPr>
          <w:b/>
          <w:bCs/>
          <w:color w:val="32373F"/>
          <w:spacing w:val="3"/>
        </w:rPr>
        <w:t>相对波动量（红色</w:t>
      </w:r>
      <w:r>
        <w:rPr>
          <w:b/>
          <w:bCs/>
          <w:color w:val="32373F"/>
          <w:spacing w:val="1"/>
        </w:rPr>
        <w:t>）</w:t>
      </w:r>
      <w:r>
        <w:rPr>
          <w:b/>
          <w:bCs/>
          <w:color w:val="32373F"/>
          <w:spacing w:val="20"/>
        </w:rPr>
        <w:t xml:space="preserve"> </w:t>
      </w:r>
      <w:r>
        <w:rPr>
          <w:color w:val="32373F"/>
          <w:spacing w:val="1"/>
        </w:rPr>
        <w:t>：</w:t>
      </w:r>
      <w:r>
        <w:rPr>
          <w:color w:val="32373F"/>
          <w:spacing w:val="3"/>
        </w:rPr>
        <w:t xml:space="preserve">绝大多数通道的相对波动幅度控制在 </w:t>
      </w:r>
      <w:r>
        <w:rPr>
          <w:rFonts w:ascii="Arial" w:hAnsi="Arial" w:eastAsia="Arial" w:cs="Arial"/>
          <w:color w:val="32373F"/>
          <w:spacing w:val="3"/>
        </w:rPr>
        <w:t xml:space="preserve">±0.2 </w:t>
      </w:r>
      <w:r>
        <w:rPr>
          <w:color w:val="32373F"/>
          <w:spacing w:val="3"/>
        </w:rPr>
        <w:t>以内，波动形态与</w:t>
      </w:r>
      <w:r>
        <w:rPr>
          <w:color w:val="32373F"/>
          <w:spacing w:val="2"/>
        </w:rPr>
        <w:t xml:space="preserve">温度剖面对应；少数通道（如 </w:t>
      </w:r>
      <w:r>
        <w:rPr>
          <w:rFonts w:ascii="Arial" w:hAnsi="Arial" w:eastAsia="Arial" w:cs="Arial"/>
          <w:color w:val="32373F"/>
        </w:rPr>
        <w:t>crystal</w:t>
      </w:r>
      <w:r>
        <w:rPr>
          <w:rFonts w:ascii="Arial" w:hAnsi="Arial" w:eastAsia="Arial" w:cs="Arial"/>
          <w:color w:val="32373F"/>
          <w:spacing w:val="2"/>
        </w:rPr>
        <w:t xml:space="preserve"> 2</w:t>
      </w:r>
      <w:r>
        <w:rPr>
          <w:color w:val="32373F"/>
          <w:spacing w:val="2"/>
        </w:rPr>
        <w:t>、</w:t>
      </w:r>
      <w:r>
        <w:rPr>
          <w:rFonts w:ascii="Arial" w:hAnsi="Arial" w:eastAsia="Arial" w:cs="Arial"/>
          <w:color w:val="32373F"/>
          <w:spacing w:val="2"/>
        </w:rPr>
        <w:t>9</w:t>
      </w:r>
      <w:r>
        <w:rPr>
          <w:color w:val="32373F"/>
          <w:spacing w:val="2"/>
        </w:rPr>
        <w:t>、</w:t>
      </w:r>
      <w:r>
        <w:rPr>
          <w:color w:val="32373F"/>
          <w:spacing w:val="-26"/>
        </w:rPr>
        <w:t xml:space="preserve"> </w:t>
      </w:r>
      <w:r>
        <w:rPr>
          <w:rFonts w:ascii="Arial" w:hAnsi="Arial" w:eastAsia="Arial" w:cs="Arial"/>
          <w:color w:val="32373F"/>
          <w:spacing w:val="2"/>
        </w:rPr>
        <w:t>13</w:t>
      </w:r>
      <w:r>
        <w:rPr>
          <w:color w:val="32373F"/>
          <w:spacing w:val="2"/>
        </w:rPr>
        <w:t xml:space="preserve">）在局部时间段的相对波动略超 </w:t>
      </w:r>
      <w:r>
        <w:rPr>
          <w:rFonts w:ascii="Arial" w:hAnsi="Arial" w:eastAsia="Arial" w:cs="Arial"/>
          <w:color w:val="32373F"/>
          <w:spacing w:val="2"/>
        </w:rPr>
        <w:t>±0.2</w:t>
      </w:r>
      <w:r>
        <w:rPr>
          <w:rFonts w:ascii="Arial" w:hAnsi="Arial" w:eastAsia="Arial" w:cs="Arial"/>
          <w:color w:val="32373F"/>
          <w:spacing w:val="-26"/>
        </w:rPr>
        <w:t xml:space="preserve"> </w:t>
      </w:r>
      <w:r>
        <w:rPr>
          <w:color w:val="32373F"/>
          <w:spacing w:val="2"/>
        </w:rPr>
        <w:t>，但持续时间短暂，不构成系统性异常。</w:t>
      </w:r>
    </w:p>
    <w:p w14:paraId="219761F6">
      <w:pPr>
        <w:pStyle w:val="2"/>
        <w:spacing w:before="323" w:line="187" w:lineRule="auto"/>
        <w:ind w:left="4"/>
      </w:pPr>
      <w:r>
        <w:rPr>
          <w:b/>
          <w:bCs/>
          <w:color w:val="32373F"/>
          <w:spacing w:val="4"/>
        </w:rPr>
        <w:t>高斯拟合</w:t>
      </w:r>
      <w:r>
        <w:rPr>
          <w:rFonts w:ascii="Arial" w:hAnsi="Arial" w:eastAsia="Arial" w:cs="Arial"/>
          <w:b/>
          <w:bCs/>
          <w:color w:val="32373F"/>
          <w:spacing w:val="4"/>
        </w:rPr>
        <w:t>σ</w:t>
      </w:r>
      <w:r>
        <w:rPr>
          <w:b/>
          <w:bCs/>
          <w:color w:val="32373F"/>
          <w:spacing w:val="4"/>
        </w:rPr>
        <w:t>值时间稳定性</w:t>
      </w:r>
    </w:p>
    <w:p w14:paraId="703B3439">
      <w:pPr>
        <w:spacing w:line="187" w:lineRule="auto"/>
        <w:sectPr>
          <w:pgSz w:w="11919" w:h="16858"/>
          <w:pgMar w:top="400" w:right="783" w:bottom="0" w:left="785" w:header="0" w:footer="0" w:gutter="0"/>
          <w:cols w:space="720" w:num="1"/>
        </w:sectPr>
      </w:pPr>
    </w:p>
    <w:p w14:paraId="176C4033">
      <w:pPr>
        <w:spacing w:before="160" w:line="8864" w:lineRule="exact"/>
      </w:pPr>
      <w:r>
        <w:rPr>
          <w:position w:val="-177"/>
        </w:rPr>
        <w:drawing>
          <wp:inline distT="0" distB="0" distL="0" distR="0">
            <wp:extent cx="6572250" cy="5628640"/>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39"/>
                    <a:stretch>
                      <a:fillRect/>
                    </a:stretch>
                  </pic:blipFill>
                  <pic:spPr>
                    <a:xfrm>
                      <a:off x="0" y="0"/>
                      <a:ext cx="6572250" cy="5629267"/>
                    </a:xfrm>
                    <a:prstGeom prst="rect">
                      <a:avLst/>
                    </a:prstGeom>
                  </pic:spPr>
                </pic:pic>
              </a:graphicData>
            </a:graphic>
          </wp:inline>
        </w:drawing>
      </w:r>
    </w:p>
    <w:p w14:paraId="416DCF0E">
      <w:pPr>
        <w:pStyle w:val="2"/>
        <w:spacing w:before="320" w:line="239" w:lineRule="auto"/>
        <w:ind w:left="36" w:right="260" w:hanging="33"/>
      </w:pPr>
      <w:r>
        <w:rPr>
          <w:color w:val="32373F"/>
          <w:spacing w:val="4"/>
        </w:rPr>
        <w:t xml:space="preserve">该图展示了热循环全程 </w:t>
      </w:r>
      <w:r>
        <w:rPr>
          <w:rFonts w:ascii="Arial" w:hAnsi="Arial" w:eastAsia="Arial" w:cs="Arial"/>
          <w:color w:val="32373F"/>
          <w:spacing w:val="4"/>
        </w:rPr>
        <w:t xml:space="preserve">25 </w:t>
      </w:r>
      <w:r>
        <w:rPr>
          <w:color w:val="32373F"/>
          <w:spacing w:val="4"/>
        </w:rPr>
        <w:t xml:space="preserve">个晶体单元备份低增益台基高斯拟合 </w:t>
      </w:r>
      <w:r>
        <w:rPr>
          <w:rFonts w:ascii="Arial" w:hAnsi="Arial" w:eastAsia="Arial" w:cs="Arial"/>
          <w:color w:val="32373F"/>
          <w:spacing w:val="4"/>
        </w:rPr>
        <w:t xml:space="preserve">σ </w:t>
      </w:r>
      <w:r>
        <w:rPr>
          <w:color w:val="32373F"/>
          <w:spacing w:val="4"/>
        </w:rPr>
        <w:t>值（蓝色点，左轴）及其相对波动量</w:t>
      </w:r>
      <w:r>
        <w:rPr>
          <w:color w:val="32373F"/>
          <w:spacing w:val="-1"/>
        </w:rPr>
        <w:t>（红色线，右轴）的时间演化。</w:t>
      </w:r>
    </w:p>
    <w:p w14:paraId="384440CD">
      <w:pPr>
        <w:pStyle w:val="2"/>
        <w:spacing w:before="266" w:line="230" w:lineRule="auto"/>
        <w:ind w:right="43" w:firstLine="8"/>
      </w:pPr>
      <w:r>
        <w:rPr>
          <w:rFonts w:ascii="Arial" w:hAnsi="Arial" w:eastAsia="Arial" w:cs="Arial"/>
          <w:b/>
          <w:bCs/>
          <w:color w:val="32373F"/>
          <w:spacing w:val="4"/>
        </w:rPr>
        <w:t xml:space="preserve">σ </w:t>
      </w:r>
      <w:r>
        <w:rPr>
          <w:b/>
          <w:bCs/>
          <w:color w:val="32373F"/>
          <w:spacing w:val="4"/>
        </w:rPr>
        <w:t>值（蓝色</w:t>
      </w:r>
      <w:r>
        <w:rPr>
          <w:b/>
          <w:bCs/>
          <w:color w:val="32373F"/>
          <w:spacing w:val="-16"/>
        </w:rPr>
        <w:t>）</w:t>
      </w:r>
      <w:r>
        <w:rPr>
          <w:b/>
          <w:bCs/>
          <w:color w:val="32373F"/>
          <w:spacing w:val="1"/>
        </w:rPr>
        <w:t xml:space="preserve"> </w:t>
      </w:r>
      <w:r>
        <w:rPr>
          <w:color w:val="32373F"/>
          <w:spacing w:val="-16"/>
        </w:rPr>
        <w:t>：</w:t>
      </w:r>
      <w:r>
        <w:rPr>
          <w:rFonts w:ascii="Arial" w:hAnsi="Arial" w:eastAsia="Arial" w:cs="Arial"/>
          <w:color w:val="32373F"/>
          <w:spacing w:val="4"/>
        </w:rPr>
        <w:t xml:space="preserve">25 </w:t>
      </w:r>
      <w:r>
        <w:rPr>
          <w:color w:val="32373F"/>
          <w:spacing w:val="4"/>
        </w:rPr>
        <w:t xml:space="preserve">个通道的 </w:t>
      </w:r>
      <w:r>
        <w:rPr>
          <w:rFonts w:ascii="Arial" w:hAnsi="Arial" w:eastAsia="Arial" w:cs="Arial"/>
          <w:color w:val="32373F"/>
          <w:spacing w:val="4"/>
        </w:rPr>
        <w:t xml:space="preserve">σ </w:t>
      </w:r>
      <w:r>
        <w:rPr>
          <w:color w:val="32373F"/>
          <w:spacing w:val="4"/>
        </w:rPr>
        <w:t>在整个热循</w:t>
      </w:r>
      <w:r>
        <w:rPr>
          <w:color w:val="32373F"/>
          <w:spacing w:val="3"/>
        </w:rPr>
        <w:t xml:space="preserve">环期间总体维持在约 </w:t>
      </w:r>
      <w:r>
        <w:rPr>
          <w:rFonts w:ascii="Arial" w:hAnsi="Arial" w:eastAsia="Arial" w:cs="Arial"/>
          <w:color w:val="32373F"/>
          <w:spacing w:val="3"/>
        </w:rPr>
        <w:t xml:space="preserve">2.5–4.5 </w:t>
      </w:r>
      <w:r>
        <w:rPr>
          <w:rFonts w:ascii="Arial" w:hAnsi="Arial" w:eastAsia="Arial" w:cs="Arial"/>
          <w:color w:val="32373F"/>
        </w:rPr>
        <w:t>ADC</w:t>
      </w:r>
      <w:r>
        <w:rPr>
          <w:rFonts w:ascii="Arial" w:hAnsi="Arial" w:eastAsia="Arial" w:cs="Arial"/>
          <w:color w:val="32373F"/>
          <w:spacing w:val="3"/>
        </w:rPr>
        <w:t xml:space="preserve"> </w:t>
      </w:r>
      <w:r>
        <w:rPr>
          <w:color w:val="32373F"/>
          <w:spacing w:val="3"/>
        </w:rPr>
        <w:t>范围内，与单次分布拟合结</w:t>
      </w:r>
      <w:r>
        <w:rPr>
          <w:color w:val="32373F"/>
          <w:spacing w:val="5"/>
        </w:rPr>
        <w:t>果（</w:t>
      </w:r>
      <w:r>
        <w:rPr>
          <w:rFonts w:ascii="Arial" w:hAnsi="Arial" w:eastAsia="Arial" w:cs="Arial"/>
          <w:color w:val="32373F"/>
          <w:spacing w:val="5"/>
        </w:rPr>
        <w:t xml:space="preserve">2.96–3.98 </w:t>
      </w:r>
      <w:r>
        <w:rPr>
          <w:rFonts w:ascii="Arial" w:hAnsi="Arial" w:eastAsia="Arial" w:cs="Arial"/>
          <w:color w:val="32373F"/>
        </w:rPr>
        <w:t>ADC</w:t>
      </w:r>
      <w:r>
        <w:rPr>
          <w:color w:val="32373F"/>
          <w:spacing w:val="5"/>
        </w:rPr>
        <w:t>）吻合，无持续性</w:t>
      </w:r>
      <w:r>
        <w:rPr>
          <w:color w:val="32373F"/>
          <w:spacing w:val="4"/>
        </w:rPr>
        <w:t xml:space="preserve">异常展宽现象。各通道 </w:t>
      </w:r>
      <w:r>
        <w:rPr>
          <w:rFonts w:ascii="Arial" w:hAnsi="Arial" w:eastAsia="Arial" w:cs="Arial"/>
          <w:color w:val="32373F"/>
          <w:spacing w:val="4"/>
        </w:rPr>
        <w:t xml:space="preserve">σ </w:t>
      </w:r>
      <w:r>
        <w:rPr>
          <w:color w:val="32373F"/>
          <w:spacing w:val="4"/>
        </w:rPr>
        <w:t xml:space="preserve">随时间呈现一定幅度的随机散布，典型波动幅度约为 </w:t>
      </w:r>
      <w:r>
        <w:rPr>
          <w:rFonts w:ascii="Arial" w:hAnsi="Arial" w:eastAsia="Arial" w:cs="Arial"/>
          <w:color w:val="32373F"/>
          <w:spacing w:val="4"/>
        </w:rPr>
        <w:t xml:space="preserve">±0.5 </w:t>
      </w:r>
      <w:r>
        <w:rPr>
          <w:rFonts w:ascii="Arial" w:hAnsi="Arial" w:eastAsia="Arial" w:cs="Arial"/>
          <w:color w:val="32373F"/>
        </w:rPr>
        <w:t>ADC</w:t>
      </w:r>
      <w:r>
        <w:rPr>
          <w:color w:val="32373F"/>
          <w:spacing w:val="4"/>
        </w:rPr>
        <w:t>，部分通道（如</w:t>
      </w:r>
      <w:r>
        <w:rPr>
          <w:color w:val="32373F"/>
          <w:spacing w:val="23"/>
        </w:rPr>
        <w:t xml:space="preserve"> </w:t>
      </w:r>
      <w:r>
        <w:rPr>
          <w:rFonts w:ascii="Arial" w:hAnsi="Arial" w:eastAsia="Arial" w:cs="Arial"/>
          <w:color w:val="32373F"/>
        </w:rPr>
        <w:t>crystal</w:t>
      </w:r>
      <w:r>
        <w:rPr>
          <w:rFonts w:ascii="Arial" w:hAnsi="Arial" w:eastAsia="Arial" w:cs="Arial"/>
          <w:color w:val="32373F"/>
          <w:spacing w:val="4"/>
        </w:rPr>
        <w:t xml:space="preserve"> 3</w:t>
      </w:r>
      <w:r>
        <w:rPr>
          <w:color w:val="32373F"/>
          <w:spacing w:val="4"/>
        </w:rPr>
        <w:t>、</w:t>
      </w:r>
      <w:r>
        <w:rPr>
          <w:rFonts w:ascii="Arial" w:hAnsi="Arial" w:eastAsia="Arial" w:cs="Arial"/>
          <w:color w:val="32373F"/>
          <w:spacing w:val="4"/>
        </w:rPr>
        <w:t>20</w:t>
      </w:r>
      <w:r>
        <w:rPr>
          <w:color w:val="32373F"/>
          <w:spacing w:val="4"/>
        </w:rPr>
        <w:t>、</w:t>
      </w:r>
      <w:r>
        <w:rPr>
          <w:rFonts w:ascii="Arial" w:hAnsi="Arial" w:eastAsia="Arial" w:cs="Arial"/>
          <w:color w:val="32373F"/>
          <w:spacing w:val="4"/>
        </w:rPr>
        <w:t>23</w:t>
      </w:r>
      <w:r>
        <w:rPr>
          <w:color w:val="32373F"/>
          <w:spacing w:val="4"/>
        </w:rPr>
        <w:t>、</w:t>
      </w:r>
      <w:r>
        <w:rPr>
          <w:rFonts w:ascii="Arial" w:hAnsi="Arial" w:eastAsia="Arial" w:cs="Arial"/>
          <w:color w:val="32373F"/>
          <w:spacing w:val="3"/>
        </w:rPr>
        <w:t>24</w:t>
      </w:r>
      <w:r>
        <w:rPr>
          <w:color w:val="32373F"/>
          <w:spacing w:val="3"/>
        </w:rPr>
        <w:t>）的蓝色曲线偶有单次跳点，偏离约</w:t>
      </w:r>
      <w:r>
        <w:rPr>
          <w:color w:val="32373F"/>
          <w:spacing w:val="18"/>
        </w:rPr>
        <w:t xml:space="preserve"> </w:t>
      </w:r>
      <w:r>
        <w:rPr>
          <w:rFonts w:ascii="Arial" w:hAnsi="Arial" w:eastAsia="Arial" w:cs="Arial"/>
          <w:color w:val="32373F"/>
          <w:spacing w:val="3"/>
        </w:rPr>
        <w:t>±1</w:t>
      </w:r>
      <w:r>
        <w:rPr>
          <w:rFonts w:ascii="Arial" w:hAnsi="Arial" w:eastAsia="Arial" w:cs="Arial"/>
          <w:color w:val="32373F"/>
        </w:rPr>
        <w:t xml:space="preserve"> ADC</w:t>
      </w:r>
      <w:r>
        <w:rPr>
          <w:color w:val="32373F"/>
          <w:spacing w:val="4"/>
        </w:rPr>
        <w:t>，但随后即回归正常水平，属于偶发性测量散布而</w:t>
      </w:r>
      <w:r>
        <w:rPr>
          <w:color w:val="32373F"/>
          <w:spacing w:val="3"/>
        </w:rPr>
        <w:t>非系统性退化。</w:t>
      </w:r>
    </w:p>
    <w:p w14:paraId="279F7FB2">
      <w:pPr>
        <w:pStyle w:val="2"/>
        <w:spacing w:before="310" w:line="239" w:lineRule="auto"/>
        <w:ind w:left="3" w:right="338" w:hanging="1"/>
      </w:pPr>
      <w:r>
        <w:rPr>
          <w:b/>
          <w:bCs/>
          <w:color w:val="32373F"/>
          <w:spacing w:val="3"/>
        </w:rPr>
        <w:t>相对波动量（红色</w:t>
      </w:r>
      <w:r>
        <w:rPr>
          <w:b/>
          <w:bCs/>
          <w:color w:val="32373F"/>
          <w:spacing w:val="1"/>
        </w:rPr>
        <w:t>）</w:t>
      </w:r>
      <w:r>
        <w:rPr>
          <w:b/>
          <w:bCs/>
          <w:color w:val="32373F"/>
          <w:spacing w:val="19"/>
        </w:rPr>
        <w:t xml:space="preserve"> </w:t>
      </w:r>
      <w:r>
        <w:rPr>
          <w:color w:val="32373F"/>
          <w:spacing w:val="1"/>
        </w:rPr>
        <w:t>：</w:t>
      </w:r>
      <w:r>
        <w:rPr>
          <w:color w:val="32373F"/>
          <w:spacing w:val="3"/>
        </w:rPr>
        <w:t xml:space="preserve">各通道相对波动幅度多数维持在 </w:t>
      </w:r>
      <w:r>
        <w:rPr>
          <w:rFonts w:ascii="Arial" w:hAnsi="Arial" w:eastAsia="Arial" w:cs="Arial"/>
          <w:color w:val="32373F"/>
          <w:spacing w:val="3"/>
        </w:rPr>
        <w:t xml:space="preserve">±0.2 </w:t>
      </w:r>
      <w:r>
        <w:rPr>
          <w:color w:val="32373F"/>
          <w:spacing w:val="3"/>
        </w:rPr>
        <w:t>以内，整体波动特</w:t>
      </w:r>
      <w:r>
        <w:rPr>
          <w:color w:val="32373F"/>
          <w:spacing w:val="2"/>
        </w:rPr>
        <w:t>性与备份高增益链路相</w:t>
      </w:r>
      <w:r>
        <w:rPr>
          <w:color w:val="32373F"/>
          <w:spacing w:val="1"/>
        </w:rPr>
        <w:t>近，未发现明显的系统性趋势变化。</w:t>
      </w:r>
    </w:p>
    <w:p w14:paraId="19A12487">
      <w:pPr>
        <w:pStyle w:val="2"/>
        <w:spacing w:before="265" w:line="230" w:lineRule="auto"/>
        <w:ind w:left="3" w:right="137"/>
      </w:pPr>
      <w:r>
        <w:rPr>
          <w:color w:val="32373F"/>
          <w:spacing w:val="1"/>
        </w:rPr>
        <w:t>综合来看，备份低增益读出链路在热循环全程的台基分布稳定，</w:t>
      </w:r>
      <w:r>
        <w:rPr>
          <w:color w:val="32373F"/>
          <w:spacing w:val="18"/>
        </w:rPr>
        <w:t xml:space="preserve">  </w:t>
      </w:r>
      <w:r>
        <w:rPr>
          <w:rFonts w:ascii="Arial" w:hAnsi="Arial" w:eastAsia="Arial" w:cs="Arial"/>
          <w:color w:val="32373F"/>
          <w:spacing w:val="1"/>
        </w:rPr>
        <w:t xml:space="preserve">σ </w:t>
      </w:r>
      <w:r>
        <w:rPr>
          <w:color w:val="32373F"/>
          <w:spacing w:val="1"/>
        </w:rPr>
        <w:t xml:space="preserve">维持在极窄范围（约 </w:t>
      </w:r>
      <w:r>
        <w:rPr>
          <w:rFonts w:ascii="Arial" w:hAnsi="Arial" w:eastAsia="Arial" w:cs="Arial"/>
          <w:color w:val="32373F"/>
          <w:spacing w:val="1"/>
        </w:rPr>
        <w:t xml:space="preserve">3–4 </w:t>
      </w:r>
      <w:r>
        <w:rPr>
          <w:rFonts w:ascii="Arial" w:hAnsi="Arial" w:eastAsia="Arial" w:cs="Arial"/>
          <w:color w:val="32373F"/>
        </w:rPr>
        <w:t>ADC</w:t>
      </w:r>
      <w:r>
        <w:rPr>
          <w:color w:val="32373F"/>
          <w:spacing w:val="1"/>
        </w:rPr>
        <w:t>）内正常波动，</w:t>
      </w:r>
      <w:r>
        <w:rPr>
          <w:color w:val="32373F"/>
          <w:spacing w:val="-42"/>
        </w:rPr>
        <w:t xml:space="preserve"> </w:t>
      </w:r>
      <w:r>
        <w:rPr>
          <w:rFonts w:ascii="Arial" w:hAnsi="Arial" w:eastAsia="Arial" w:cs="Arial"/>
          <w:color w:val="32373F"/>
          <w:spacing w:val="1"/>
        </w:rPr>
        <w:t xml:space="preserve">25 </w:t>
      </w:r>
      <w:r>
        <w:rPr>
          <w:color w:val="32373F"/>
          <w:spacing w:val="1"/>
        </w:rPr>
        <w:t>个通道均能正常读出，整体基线稳定性与主份低增益链路相当。</w:t>
      </w:r>
      <w:r>
        <w:rPr>
          <w:color w:val="32373F"/>
          <w:spacing w:val="17"/>
        </w:rPr>
        <w:t xml:space="preserve">  </w:t>
      </w:r>
      <w:r>
        <w:rPr>
          <w:rFonts w:ascii="Arial" w:hAnsi="Arial" w:eastAsia="Arial" w:cs="Arial"/>
          <w:color w:val="32373F"/>
        </w:rPr>
        <w:t xml:space="preserve">crystal 9 </w:t>
      </w:r>
      <w:r>
        <w:rPr>
          <w:color w:val="32373F"/>
        </w:rPr>
        <w:t>的台基均值阶梯式</w:t>
      </w:r>
      <w:r>
        <w:rPr>
          <w:color w:val="32373F"/>
          <w:spacing w:val="3"/>
        </w:rPr>
        <w:t xml:space="preserve">抬升及 </w:t>
      </w:r>
      <w:r>
        <w:rPr>
          <w:rFonts w:ascii="Arial" w:hAnsi="Arial" w:eastAsia="Arial" w:cs="Arial"/>
          <w:color w:val="32373F"/>
        </w:rPr>
        <w:t>crystal</w:t>
      </w:r>
      <w:r>
        <w:rPr>
          <w:rFonts w:ascii="Arial" w:hAnsi="Arial" w:eastAsia="Arial" w:cs="Arial"/>
          <w:color w:val="32373F"/>
          <w:spacing w:val="3"/>
        </w:rPr>
        <w:t xml:space="preserve"> 7</w:t>
      </w:r>
      <w:r>
        <w:rPr>
          <w:color w:val="32373F"/>
          <w:spacing w:val="3"/>
        </w:rPr>
        <w:t>、</w:t>
      </w:r>
      <w:r>
        <w:rPr>
          <w:rFonts w:ascii="Arial" w:hAnsi="Arial" w:eastAsia="Arial" w:cs="Arial"/>
          <w:color w:val="32373F"/>
          <w:spacing w:val="3"/>
        </w:rPr>
        <w:t>8</w:t>
      </w:r>
      <w:r>
        <w:rPr>
          <w:color w:val="32373F"/>
          <w:spacing w:val="3"/>
        </w:rPr>
        <w:t>、</w:t>
      </w:r>
      <w:r>
        <w:rPr>
          <w:color w:val="32373F"/>
          <w:spacing w:val="-35"/>
        </w:rPr>
        <w:t xml:space="preserve"> </w:t>
      </w:r>
      <w:r>
        <w:rPr>
          <w:rFonts w:ascii="Arial" w:hAnsi="Arial" w:eastAsia="Arial" w:cs="Arial"/>
          <w:color w:val="32373F"/>
          <w:spacing w:val="3"/>
        </w:rPr>
        <w:t>14</w:t>
      </w:r>
      <w:r>
        <w:rPr>
          <w:color w:val="32373F"/>
          <w:spacing w:val="3"/>
        </w:rPr>
        <w:t>、</w:t>
      </w:r>
      <w:r>
        <w:rPr>
          <w:color w:val="32373F"/>
          <w:spacing w:val="-36"/>
        </w:rPr>
        <w:t xml:space="preserve"> </w:t>
      </w:r>
      <w:r>
        <w:rPr>
          <w:rFonts w:ascii="Arial" w:hAnsi="Arial" w:eastAsia="Arial" w:cs="Arial"/>
          <w:color w:val="32373F"/>
          <w:spacing w:val="3"/>
        </w:rPr>
        <w:t>16</w:t>
      </w:r>
      <w:r>
        <w:rPr>
          <w:color w:val="32373F"/>
          <w:spacing w:val="3"/>
        </w:rPr>
        <w:t>、</w:t>
      </w:r>
      <w:r>
        <w:rPr>
          <w:color w:val="32373F"/>
          <w:spacing w:val="-35"/>
        </w:rPr>
        <w:t xml:space="preserve"> </w:t>
      </w:r>
      <w:r>
        <w:rPr>
          <w:rFonts w:ascii="Arial" w:hAnsi="Arial" w:eastAsia="Arial" w:cs="Arial"/>
          <w:color w:val="32373F"/>
          <w:spacing w:val="3"/>
        </w:rPr>
        <w:t xml:space="preserve">17 </w:t>
      </w:r>
      <w:r>
        <w:rPr>
          <w:color w:val="32373F"/>
          <w:spacing w:val="3"/>
        </w:rPr>
        <w:t>等通道温度响应幅度偏小</w:t>
      </w:r>
      <w:r>
        <w:rPr>
          <w:color w:val="32373F"/>
          <w:spacing w:val="2"/>
        </w:rPr>
        <w:t>的现象可能需要结合遥测状态量进一步核</w:t>
      </w:r>
      <w:r>
        <w:rPr>
          <w:color w:val="32373F"/>
        </w:rPr>
        <w:t xml:space="preserve"> </w:t>
      </w:r>
      <w:r>
        <w:rPr>
          <w:color w:val="32373F"/>
          <w:spacing w:val="4"/>
        </w:rPr>
        <w:t>查；排除上述个别需关注通道后，备份低增益链路在热循环过程中的基线稳定性总体满</w:t>
      </w:r>
      <w:r>
        <w:rPr>
          <w:color w:val="32373F"/>
          <w:spacing w:val="3"/>
        </w:rPr>
        <w:t>足预期要求。</w:t>
      </w:r>
    </w:p>
    <w:p w14:paraId="7ECC4F8A">
      <w:pPr>
        <w:pStyle w:val="2"/>
        <w:spacing w:before="332" w:line="189" w:lineRule="auto"/>
        <w:ind w:left="7"/>
        <w:rPr>
          <w:sz w:val="24"/>
          <w:szCs w:val="24"/>
        </w:rPr>
      </w:pPr>
      <w:r>
        <w:rPr>
          <w:b/>
          <w:bCs/>
          <w:color w:val="32373F"/>
          <w:spacing w:val="9"/>
          <w:sz w:val="24"/>
          <w:szCs w:val="24"/>
        </w:rPr>
        <w:t>台基（</w:t>
      </w:r>
      <w:r>
        <w:rPr>
          <w:rFonts w:ascii="Arial" w:hAnsi="Arial" w:eastAsia="Arial" w:cs="Arial"/>
          <w:b/>
          <w:bCs/>
          <w:color w:val="32373F"/>
          <w:sz w:val="24"/>
          <w:szCs w:val="24"/>
        </w:rPr>
        <w:t>Pedestal</w:t>
      </w:r>
      <w:r>
        <w:rPr>
          <w:b/>
          <w:bCs/>
          <w:color w:val="32373F"/>
          <w:spacing w:val="9"/>
          <w:sz w:val="24"/>
          <w:szCs w:val="24"/>
        </w:rPr>
        <w:t>）变化总结</w:t>
      </w:r>
    </w:p>
    <w:p w14:paraId="29156CDD">
      <w:pPr>
        <w:spacing w:line="189" w:lineRule="auto"/>
        <w:rPr>
          <w:sz w:val="24"/>
          <w:szCs w:val="24"/>
        </w:rPr>
        <w:sectPr>
          <w:pgSz w:w="11919" w:h="16858"/>
          <w:pgMar w:top="400" w:right="783" w:bottom="0" w:left="785" w:header="0" w:footer="0" w:gutter="0"/>
          <w:cols w:space="720" w:num="1"/>
        </w:sectPr>
      </w:pPr>
    </w:p>
    <w:p w14:paraId="36168B80">
      <w:pPr>
        <w:pStyle w:val="2"/>
        <w:spacing w:before="223" w:line="228" w:lineRule="auto"/>
        <w:ind w:left="2"/>
      </w:pPr>
      <w:r>
        <w:rPr>
          <w:color w:val="32373F"/>
          <w:spacing w:val="5"/>
        </w:rPr>
        <w:t xml:space="preserve">对高温保持阶段 </w:t>
      </w:r>
      <w:r>
        <w:rPr>
          <w:rFonts w:ascii="Arial" w:hAnsi="Arial" w:eastAsia="Arial" w:cs="Arial"/>
          <w:color w:val="32373F"/>
        </w:rPr>
        <w:t>Calo</w:t>
      </w:r>
      <w:r>
        <w:rPr>
          <w:rFonts w:ascii="Arial" w:hAnsi="Arial" w:eastAsia="Arial" w:cs="Arial"/>
          <w:color w:val="32373F"/>
          <w:spacing w:val="23"/>
        </w:rPr>
        <w:t xml:space="preserve"> </w:t>
      </w:r>
      <w:r>
        <w:rPr>
          <w:color w:val="32373F"/>
          <w:spacing w:val="5"/>
        </w:rPr>
        <w:t>四组读出链路的台基分布进行</w:t>
      </w:r>
      <w:r>
        <w:rPr>
          <w:color w:val="32373F"/>
          <w:spacing w:val="4"/>
        </w:rPr>
        <w:t>了系统统计，涵盖主份高增益、主份低增益、备份高</w:t>
      </w:r>
      <w:r>
        <w:rPr>
          <w:color w:val="32373F"/>
          <w:spacing w:val="3"/>
        </w:rPr>
        <w:t>增益及备份低增益四组链路。整体来看，</w:t>
      </w:r>
      <w:r>
        <w:rPr>
          <w:color w:val="32373F"/>
          <w:spacing w:val="28"/>
          <w:w w:val="101"/>
        </w:rPr>
        <w:t xml:space="preserve"> </w:t>
      </w:r>
      <w:r>
        <w:rPr>
          <w:rFonts w:ascii="Arial" w:hAnsi="Arial" w:eastAsia="Arial" w:cs="Arial"/>
          <w:color w:val="32373F"/>
          <w:spacing w:val="3"/>
        </w:rPr>
        <w:t xml:space="preserve">25 </w:t>
      </w:r>
      <w:r>
        <w:rPr>
          <w:color w:val="32373F"/>
          <w:spacing w:val="3"/>
        </w:rPr>
        <w:t>个晶体单元在四组读出链路中均</w:t>
      </w:r>
      <w:r>
        <w:rPr>
          <w:color w:val="32373F"/>
          <w:spacing w:val="2"/>
        </w:rPr>
        <w:t>能正常读出，台基分布均呈</w:t>
      </w:r>
      <w:r>
        <w:rPr>
          <w:color w:val="32373F"/>
          <w:spacing w:val="5"/>
        </w:rPr>
        <w:t>现清晰的单峰结构，高斯拟合可较好地描述主峰区域，未发现明显的双峰、异常长尾或离散噪声</w:t>
      </w:r>
      <w:r>
        <w:rPr>
          <w:color w:val="32373F"/>
          <w:spacing w:val="4"/>
        </w:rPr>
        <w:t>峰，表明</w:t>
      </w:r>
      <w:r>
        <w:rPr>
          <w:color w:val="32373F"/>
          <w:spacing w:val="2"/>
        </w:rPr>
        <w:t xml:space="preserve">高温保持阶段 </w:t>
      </w:r>
      <w:r>
        <w:rPr>
          <w:rFonts w:ascii="Arial" w:hAnsi="Arial" w:eastAsia="Arial" w:cs="Arial"/>
          <w:color w:val="32373F"/>
        </w:rPr>
        <w:t>Calo</w:t>
      </w:r>
      <w:r>
        <w:rPr>
          <w:rFonts w:ascii="Arial" w:hAnsi="Arial" w:eastAsia="Arial" w:cs="Arial"/>
          <w:color w:val="32373F"/>
          <w:spacing w:val="2"/>
        </w:rPr>
        <w:t xml:space="preserve"> </w:t>
      </w:r>
      <w:r>
        <w:rPr>
          <w:color w:val="32373F"/>
          <w:spacing w:val="2"/>
        </w:rPr>
        <w:t>电子学读出状态整体稳定。</w:t>
      </w:r>
    </w:p>
    <w:p w14:paraId="5D57C649">
      <w:pPr>
        <w:pStyle w:val="2"/>
        <w:spacing w:before="305" w:line="234" w:lineRule="auto"/>
        <w:ind w:left="3" w:hanging="1"/>
      </w:pPr>
      <w:r>
        <w:rPr>
          <w:color w:val="32373F"/>
          <w:spacing w:val="5"/>
        </w:rPr>
        <w:t>从台基均值来看，不同通道之间存在一定程度的台基偏置，这一现象在四组读出链路中普遍存在</w:t>
      </w:r>
      <w:r>
        <w:rPr>
          <w:color w:val="32373F"/>
          <w:spacing w:val="4"/>
        </w:rPr>
        <w:t xml:space="preserve">，主要源于各通道前端电子学工作点、 </w:t>
      </w:r>
      <w:r>
        <w:rPr>
          <w:rFonts w:ascii="Arial" w:hAnsi="Arial" w:eastAsia="Arial" w:cs="Arial"/>
          <w:color w:val="32373F"/>
        </w:rPr>
        <w:t>ADC</w:t>
      </w:r>
      <w:r>
        <w:rPr>
          <w:rFonts w:ascii="Arial" w:hAnsi="Arial" w:eastAsia="Arial" w:cs="Arial"/>
          <w:color w:val="32373F"/>
          <w:spacing w:val="4"/>
        </w:rPr>
        <w:t xml:space="preserve"> </w:t>
      </w:r>
      <w:r>
        <w:rPr>
          <w:color w:val="32373F"/>
          <w:spacing w:val="4"/>
        </w:rPr>
        <w:t>基准及读出链路</w:t>
      </w:r>
      <w:r>
        <w:rPr>
          <w:color w:val="32373F"/>
          <w:spacing w:val="3"/>
        </w:rPr>
        <w:t>的固有差异，属于正常的通道间特性分散。鉴于各通</w:t>
      </w:r>
      <w:r>
        <w:rPr>
          <w:color w:val="32373F"/>
          <w:spacing w:val="2"/>
        </w:rPr>
        <w:t xml:space="preserve">道台基均值存在差异，在后续开展最小电离粒子峰位提取、  </w:t>
      </w:r>
      <w:r>
        <w:rPr>
          <w:rFonts w:ascii="Arial" w:hAnsi="Arial" w:eastAsia="Arial" w:cs="Arial"/>
          <w:color w:val="32373F"/>
        </w:rPr>
        <w:t>ADC</w:t>
      </w:r>
      <w:r>
        <w:rPr>
          <w:rFonts w:ascii="Arial" w:hAnsi="Arial" w:eastAsia="Arial" w:cs="Arial"/>
          <w:color w:val="32373F"/>
          <w:spacing w:val="2"/>
        </w:rPr>
        <w:t xml:space="preserve"> </w:t>
      </w:r>
      <w:r>
        <w:rPr>
          <w:color w:val="32373F"/>
          <w:spacing w:val="2"/>
        </w:rPr>
        <w:t>谱分析及能量响应重建时，应逐通道单</w:t>
      </w:r>
      <w:r>
        <w:rPr>
          <w:color w:val="32373F"/>
          <w:spacing w:val="3"/>
        </w:rPr>
        <w:t>独扣除对应台基，而不宜采用统一台基值进行</w:t>
      </w:r>
      <w:r>
        <w:rPr>
          <w:color w:val="32373F"/>
          <w:spacing w:val="2"/>
        </w:rPr>
        <w:t>处理。</w:t>
      </w:r>
    </w:p>
    <w:p w14:paraId="302AF27E">
      <w:pPr>
        <w:pStyle w:val="2"/>
        <w:spacing w:before="282" w:line="187" w:lineRule="auto"/>
        <w:ind w:left="20"/>
      </w:pPr>
      <w:r>
        <w:rPr>
          <w:color w:val="32373F"/>
          <w:spacing w:val="1"/>
        </w:rPr>
        <w:t xml:space="preserve">四组读出链路的台基均值及 </w:t>
      </w:r>
      <w:r>
        <w:rPr>
          <w:rFonts w:ascii="Arial" w:hAnsi="Arial" w:eastAsia="Arial" w:cs="Arial"/>
          <w:color w:val="32373F"/>
          <w:spacing w:val="1"/>
        </w:rPr>
        <w:t xml:space="preserve">σ </w:t>
      </w:r>
      <w:r>
        <w:rPr>
          <w:color w:val="32373F"/>
          <w:spacing w:val="1"/>
        </w:rPr>
        <w:t>汇总如下：</w:t>
      </w:r>
    </w:p>
    <w:p w14:paraId="29BCF58C">
      <w:pPr>
        <w:spacing w:before="196"/>
      </w:pPr>
    </w:p>
    <w:tbl>
      <w:tblPr>
        <w:tblStyle w:val="8"/>
        <w:tblW w:w="7665" w:type="dxa"/>
        <w:tblInd w:w="7" w:type="dxa"/>
        <w:tblBorders>
          <w:top w:val="single" w:color="DCDCDC" w:sz="6" w:space="0"/>
          <w:left w:val="single" w:color="DCDCDC" w:sz="6" w:space="0"/>
          <w:bottom w:val="single" w:color="DCDCDC" w:sz="6" w:space="0"/>
          <w:right w:val="single" w:color="DCDCDC" w:sz="6" w:space="0"/>
          <w:insideH w:val="single" w:color="DCDCDC" w:sz="6" w:space="0"/>
          <w:insideV w:val="single" w:color="DCDCDC" w:sz="6" w:space="0"/>
        </w:tblBorders>
        <w:tblLayout w:type="fixed"/>
        <w:tblCellMar>
          <w:top w:w="0" w:type="dxa"/>
          <w:left w:w="0" w:type="dxa"/>
          <w:bottom w:w="0" w:type="dxa"/>
          <w:right w:w="0" w:type="dxa"/>
        </w:tblCellMar>
      </w:tblPr>
      <w:tblGrid>
        <w:gridCol w:w="1594"/>
        <w:gridCol w:w="2291"/>
        <w:gridCol w:w="2410"/>
        <w:gridCol w:w="1370"/>
      </w:tblGrid>
      <w:tr w14:paraId="553D9CC0">
        <w:tblPrEx>
          <w:tblBorders>
            <w:top w:val="single" w:color="DCDCDC" w:sz="6" w:space="0"/>
            <w:left w:val="single" w:color="DCDCDC" w:sz="6" w:space="0"/>
            <w:bottom w:val="single" w:color="DCDCDC" w:sz="6" w:space="0"/>
            <w:right w:val="single" w:color="DCDCDC" w:sz="6" w:space="0"/>
            <w:insideH w:val="single" w:color="DCDCDC" w:sz="6" w:space="0"/>
            <w:insideV w:val="single" w:color="DCDCDC" w:sz="6" w:space="0"/>
          </w:tblBorders>
          <w:tblCellMar>
            <w:top w:w="0" w:type="dxa"/>
            <w:left w:w="0" w:type="dxa"/>
            <w:bottom w:w="0" w:type="dxa"/>
            <w:right w:w="0" w:type="dxa"/>
          </w:tblCellMar>
        </w:tblPrEx>
        <w:trPr>
          <w:trHeight w:val="537" w:hRule="atLeast"/>
        </w:trPr>
        <w:tc>
          <w:tcPr>
            <w:tcW w:w="1594" w:type="dxa"/>
            <w:tcBorders>
              <w:bottom w:val="single" w:color="DCDCDC" w:sz="12" w:space="0"/>
            </w:tcBorders>
            <w:shd w:val="clear" w:color="auto" w:fill="F7F7F7"/>
            <w:vAlign w:val="top"/>
          </w:tcPr>
          <w:p w14:paraId="5218FA0B">
            <w:pPr>
              <w:pStyle w:val="9"/>
              <w:spacing w:before="169" w:line="186" w:lineRule="auto"/>
              <w:ind w:left="341"/>
            </w:pPr>
            <w:r>
              <w:rPr>
                <w:b/>
                <w:bCs/>
                <w:color w:val="32373F"/>
                <w:spacing w:val="4"/>
              </w:rPr>
              <w:t>读出链路</w:t>
            </w:r>
          </w:p>
        </w:tc>
        <w:tc>
          <w:tcPr>
            <w:tcW w:w="2291" w:type="dxa"/>
            <w:tcBorders>
              <w:bottom w:val="single" w:color="DCDCDC" w:sz="12" w:space="0"/>
            </w:tcBorders>
            <w:shd w:val="clear" w:color="auto" w:fill="F7F7F7"/>
            <w:vAlign w:val="top"/>
          </w:tcPr>
          <w:p w14:paraId="1A208D6A">
            <w:pPr>
              <w:pStyle w:val="9"/>
              <w:spacing w:before="167" w:line="187" w:lineRule="auto"/>
              <w:ind w:left="466"/>
            </w:pPr>
            <w:r>
              <w:rPr>
                <w:b/>
                <w:bCs/>
                <w:color w:val="32373F"/>
                <w:spacing w:val="3"/>
              </w:rPr>
              <w:t>台基均值范围</w:t>
            </w:r>
          </w:p>
        </w:tc>
        <w:tc>
          <w:tcPr>
            <w:tcW w:w="2410" w:type="dxa"/>
            <w:tcBorders>
              <w:bottom w:val="single" w:color="DCDCDC" w:sz="12" w:space="0"/>
            </w:tcBorders>
            <w:shd w:val="clear" w:color="auto" w:fill="F7F7F7"/>
            <w:vAlign w:val="top"/>
          </w:tcPr>
          <w:p w14:paraId="6CDA10CA">
            <w:pPr>
              <w:pStyle w:val="9"/>
              <w:spacing w:before="168" w:line="186" w:lineRule="auto"/>
              <w:ind w:left="224"/>
            </w:pPr>
            <w:r>
              <w:rPr>
                <w:b/>
                <w:bCs/>
                <w:color w:val="32373F"/>
                <w:spacing w:val="30"/>
              </w:rPr>
              <w:t>拟合宽度(</w:t>
            </w:r>
            <w:r>
              <w:rPr>
                <w:b/>
                <w:bCs/>
                <w:color w:val="32373F"/>
                <w:spacing w:val="-41"/>
              </w:rPr>
              <w:t xml:space="preserve"> </w:t>
            </w:r>
            <w:r>
              <w:rPr>
                <w:rFonts w:ascii="Arial" w:hAnsi="Arial" w:eastAsia="Arial" w:cs="Arial"/>
                <w:b/>
                <w:bCs/>
                <w:color w:val="32373F"/>
                <w:spacing w:val="30"/>
              </w:rPr>
              <w:t>σ</w:t>
            </w:r>
            <w:r>
              <w:rPr>
                <w:b/>
                <w:bCs/>
                <w:color w:val="32373F"/>
                <w:spacing w:val="30"/>
              </w:rPr>
              <w:t>)范围</w:t>
            </w:r>
          </w:p>
        </w:tc>
        <w:tc>
          <w:tcPr>
            <w:tcW w:w="1370" w:type="dxa"/>
            <w:tcBorders>
              <w:bottom w:val="single" w:color="DCDCDC" w:sz="12" w:space="0"/>
            </w:tcBorders>
            <w:shd w:val="clear" w:color="auto" w:fill="F7F7F7"/>
            <w:vAlign w:val="top"/>
          </w:tcPr>
          <w:p w14:paraId="10B8DC44">
            <w:pPr>
              <w:pStyle w:val="9"/>
              <w:spacing w:before="168" w:line="186" w:lineRule="auto"/>
              <w:ind w:left="233"/>
            </w:pPr>
            <w:r>
              <w:rPr>
                <w:b/>
                <w:bCs/>
                <w:color w:val="32373F"/>
                <w:spacing w:val="4"/>
              </w:rPr>
              <w:t>增益档位</w:t>
            </w:r>
          </w:p>
        </w:tc>
      </w:tr>
      <w:tr w14:paraId="55392A49">
        <w:tblPrEx>
          <w:tblBorders>
            <w:top w:val="single" w:color="DCDCDC" w:sz="6" w:space="0"/>
            <w:left w:val="single" w:color="DCDCDC" w:sz="6" w:space="0"/>
            <w:bottom w:val="single" w:color="DCDCDC" w:sz="6" w:space="0"/>
            <w:right w:val="single" w:color="DCDCDC" w:sz="6" w:space="0"/>
            <w:insideH w:val="single" w:color="DCDCDC" w:sz="6" w:space="0"/>
            <w:insideV w:val="single" w:color="DCDCDC" w:sz="6" w:space="0"/>
          </w:tblBorders>
          <w:tblCellMar>
            <w:top w:w="0" w:type="dxa"/>
            <w:left w:w="0" w:type="dxa"/>
            <w:bottom w:w="0" w:type="dxa"/>
            <w:right w:w="0" w:type="dxa"/>
          </w:tblCellMar>
        </w:tblPrEx>
        <w:trPr>
          <w:trHeight w:val="514" w:hRule="atLeast"/>
        </w:trPr>
        <w:tc>
          <w:tcPr>
            <w:tcW w:w="1594" w:type="dxa"/>
            <w:tcBorders>
              <w:top w:val="single" w:color="DCDCDC" w:sz="12" w:space="0"/>
            </w:tcBorders>
            <w:vAlign w:val="top"/>
          </w:tcPr>
          <w:p w14:paraId="7F43F5F8">
            <w:pPr>
              <w:pStyle w:val="9"/>
              <w:spacing w:before="155" w:line="187" w:lineRule="auto"/>
              <w:ind w:left="230"/>
            </w:pPr>
            <w:r>
              <w:rPr>
                <w:color w:val="32373F"/>
                <w:spacing w:val="3"/>
              </w:rPr>
              <w:t>主份高增益</w:t>
            </w:r>
          </w:p>
        </w:tc>
        <w:tc>
          <w:tcPr>
            <w:tcW w:w="2291" w:type="dxa"/>
            <w:tcBorders>
              <w:top w:val="single" w:color="DCDCDC" w:sz="12" w:space="0"/>
            </w:tcBorders>
            <w:vAlign w:val="top"/>
          </w:tcPr>
          <w:p w14:paraId="654088D2">
            <w:pPr>
              <w:pStyle w:val="9"/>
              <w:spacing w:before="114" w:line="384" w:lineRule="exact"/>
              <w:ind w:left="233"/>
              <w:rPr>
                <w:rFonts w:ascii="Arial" w:hAnsi="Arial" w:eastAsia="Arial" w:cs="Arial"/>
              </w:rPr>
            </w:pPr>
            <w:r>
              <w:rPr>
                <w:color w:val="32373F"/>
                <w:spacing w:val="1"/>
                <w:position w:val="4"/>
              </w:rPr>
              <w:t xml:space="preserve">约 </w:t>
            </w:r>
            <w:r>
              <w:rPr>
                <w:rFonts w:ascii="Arial" w:hAnsi="Arial" w:eastAsia="Arial" w:cs="Arial"/>
                <w:color w:val="32373F"/>
                <w:spacing w:val="1"/>
                <w:position w:val="4"/>
              </w:rPr>
              <w:t xml:space="preserve">779–1180 </w:t>
            </w:r>
            <w:r>
              <w:rPr>
                <w:rFonts w:ascii="Arial" w:hAnsi="Arial" w:eastAsia="Arial" w:cs="Arial"/>
                <w:color w:val="32373F"/>
                <w:position w:val="4"/>
              </w:rPr>
              <w:t>ADC</w:t>
            </w:r>
          </w:p>
        </w:tc>
        <w:tc>
          <w:tcPr>
            <w:tcW w:w="2410" w:type="dxa"/>
            <w:tcBorders>
              <w:top w:val="single" w:color="DCDCDC" w:sz="12" w:space="0"/>
            </w:tcBorders>
            <w:vAlign w:val="top"/>
          </w:tcPr>
          <w:p w14:paraId="61F6F421">
            <w:pPr>
              <w:pStyle w:val="9"/>
              <w:spacing w:before="114" w:line="384" w:lineRule="exact"/>
              <w:ind w:left="476"/>
              <w:rPr>
                <w:rFonts w:ascii="Arial" w:hAnsi="Arial" w:eastAsia="Arial" w:cs="Arial"/>
              </w:rPr>
            </w:pPr>
            <w:r>
              <w:rPr>
                <w:color w:val="32373F"/>
                <w:spacing w:val="2"/>
                <w:position w:val="4"/>
              </w:rPr>
              <w:t xml:space="preserve">约 </w:t>
            </w:r>
            <w:r>
              <w:rPr>
                <w:rFonts w:ascii="Arial" w:hAnsi="Arial" w:eastAsia="Arial" w:cs="Arial"/>
                <w:color w:val="32373F"/>
                <w:spacing w:val="2"/>
                <w:position w:val="4"/>
              </w:rPr>
              <w:t xml:space="preserve">25–27 </w:t>
            </w:r>
            <w:r>
              <w:rPr>
                <w:rFonts w:ascii="Arial" w:hAnsi="Arial" w:eastAsia="Arial" w:cs="Arial"/>
                <w:color w:val="32373F"/>
                <w:position w:val="4"/>
              </w:rPr>
              <w:t>ADC</w:t>
            </w:r>
          </w:p>
        </w:tc>
        <w:tc>
          <w:tcPr>
            <w:tcW w:w="1370" w:type="dxa"/>
            <w:tcBorders>
              <w:top w:val="single" w:color="DCDCDC" w:sz="12" w:space="0"/>
            </w:tcBorders>
            <w:vAlign w:val="top"/>
          </w:tcPr>
          <w:p w14:paraId="177B2696">
            <w:pPr>
              <w:pStyle w:val="9"/>
              <w:spacing w:before="155" w:line="187" w:lineRule="auto"/>
              <w:ind w:left="347"/>
            </w:pPr>
            <w:r>
              <w:rPr>
                <w:color w:val="32373F"/>
                <w:spacing w:val="3"/>
              </w:rPr>
              <w:t>高增益</w:t>
            </w:r>
          </w:p>
        </w:tc>
      </w:tr>
      <w:tr w14:paraId="2815CD68">
        <w:tblPrEx>
          <w:tblBorders>
            <w:top w:val="single" w:color="DCDCDC" w:sz="6" w:space="0"/>
            <w:left w:val="single" w:color="DCDCDC" w:sz="6" w:space="0"/>
            <w:bottom w:val="single" w:color="DCDCDC" w:sz="6" w:space="0"/>
            <w:right w:val="single" w:color="DCDCDC" w:sz="6" w:space="0"/>
            <w:insideH w:val="single" w:color="DCDCDC" w:sz="6" w:space="0"/>
            <w:insideV w:val="single" w:color="DCDCDC" w:sz="6" w:space="0"/>
          </w:tblBorders>
          <w:tblCellMar>
            <w:top w:w="0" w:type="dxa"/>
            <w:left w:w="0" w:type="dxa"/>
            <w:bottom w:w="0" w:type="dxa"/>
            <w:right w:w="0" w:type="dxa"/>
          </w:tblCellMar>
        </w:tblPrEx>
        <w:trPr>
          <w:trHeight w:val="522" w:hRule="atLeast"/>
        </w:trPr>
        <w:tc>
          <w:tcPr>
            <w:tcW w:w="1594" w:type="dxa"/>
            <w:shd w:val="clear" w:color="auto" w:fill="F7F7F7"/>
            <w:vAlign w:val="top"/>
          </w:tcPr>
          <w:p w14:paraId="6F9EF6F7">
            <w:pPr>
              <w:pStyle w:val="9"/>
              <w:spacing w:before="166" w:line="187" w:lineRule="auto"/>
              <w:ind w:left="225"/>
            </w:pPr>
            <w:r>
              <w:rPr>
                <w:color w:val="32373F"/>
                <w:spacing w:val="4"/>
              </w:rPr>
              <w:t>备份高增益</w:t>
            </w:r>
          </w:p>
        </w:tc>
        <w:tc>
          <w:tcPr>
            <w:tcW w:w="2291" w:type="dxa"/>
            <w:shd w:val="clear" w:color="auto" w:fill="F7F7F7"/>
            <w:vAlign w:val="top"/>
          </w:tcPr>
          <w:p w14:paraId="1E07A77E">
            <w:pPr>
              <w:pStyle w:val="9"/>
              <w:spacing w:before="125" w:line="384" w:lineRule="exact"/>
              <w:ind w:left="225"/>
              <w:rPr>
                <w:rFonts w:ascii="Arial" w:hAnsi="Arial" w:eastAsia="Arial" w:cs="Arial"/>
              </w:rPr>
            </w:pPr>
            <w:r>
              <w:rPr>
                <w:color w:val="32373F"/>
                <w:spacing w:val="2"/>
                <w:position w:val="4"/>
              </w:rPr>
              <w:t xml:space="preserve">约 </w:t>
            </w:r>
            <w:r>
              <w:rPr>
                <w:rFonts w:ascii="Arial" w:hAnsi="Arial" w:eastAsia="Arial" w:cs="Arial"/>
                <w:color w:val="32373F"/>
                <w:spacing w:val="2"/>
                <w:position w:val="4"/>
              </w:rPr>
              <w:t xml:space="preserve">795–1541 </w:t>
            </w:r>
            <w:r>
              <w:rPr>
                <w:rFonts w:ascii="Arial" w:hAnsi="Arial" w:eastAsia="Arial" w:cs="Arial"/>
                <w:color w:val="32373F"/>
                <w:position w:val="4"/>
              </w:rPr>
              <w:t>ADC</w:t>
            </w:r>
          </w:p>
        </w:tc>
        <w:tc>
          <w:tcPr>
            <w:tcW w:w="2410" w:type="dxa"/>
            <w:shd w:val="clear" w:color="auto" w:fill="F7F7F7"/>
            <w:vAlign w:val="top"/>
          </w:tcPr>
          <w:p w14:paraId="0F90FDEE">
            <w:pPr>
              <w:pStyle w:val="9"/>
              <w:spacing w:before="125" w:line="384" w:lineRule="exact"/>
              <w:ind w:left="476"/>
              <w:rPr>
                <w:rFonts w:ascii="Arial" w:hAnsi="Arial" w:eastAsia="Arial" w:cs="Arial"/>
              </w:rPr>
            </w:pPr>
            <w:r>
              <w:rPr>
                <w:color w:val="32373F"/>
                <w:spacing w:val="2"/>
                <w:position w:val="4"/>
              </w:rPr>
              <w:t xml:space="preserve">约 </w:t>
            </w:r>
            <w:r>
              <w:rPr>
                <w:rFonts w:ascii="Arial" w:hAnsi="Arial" w:eastAsia="Arial" w:cs="Arial"/>
                <w:color w:val="32373F"/>
                <w:spacing w:val="2"/>
                <w:position w:val="4"/>
              </w:rPr>
              <w:t xml:space="preserve">23–26 </w:t>
            </w:r>
            <w:r>
              <w:rPr>
                <w:rFonts w:ascii="Arial" w:hAnsi="Arial" w:eastAsia="Arial" w:cs="Arial"/>
                <w:color w:val="32373F"/>
                <w:position w:val="4"/>
              </w:rPr>
              <w:t>ADC</w:t>
            </w:r>
          </w:p>
        </w:tc>
        <w:tc>
          <w:tcPr>
            <w:tcW w:w="1370" w:type="dxa"/>
            <w:shd w:val="clear" w:color="auto" w:fill="F7F7F7"/>
            <w:vAlign w:val="top"/>
          </w:tcPr>
          <w:p w14:paraId="5BFCCA1A">
            <w:pPr>
              <w:pStyle w:val="9"/>
              <w:spacing w:before="166" w:line="187" w:lineRule="auto"/>
              <w:ind w:left="347"/>
            </w:pPr>
            <w:r>
              <w:rPr>
                <w:color w:val="32373F"/>
                <w:spacing w:val="3"/>
              </w:rPr>
              <w:t>高增益</w:t>
            </w:r>
          </w:p>
        </w:tc>
      </w:tr>
      <w:tr w14:paraId="3D11A930">
        <w:tblPrEx>
          <w:tblBorders>
            <w:top w:val="single" w:color="DCDCDC" w:sz="6" w:space="0"/>
            <w:left w:val="single" w:color="DCDCDC" w:sz="6" w:space="0"/>
            <w:bottom w:val="single" w:color="DCDCDC" w:sz="6" w:space="0"/>
            <w:right w:val="single" w:color="DCDCDC" w:sz="6" w:space="0"/>
            <w:insideH w:val="single" w:color="DCDCDC" w:sz="6" w:space="0"/>
            <w:insideV w:val="single" w:color="DCDCDC" w:sz="6" w:space="0"/>
          </w:tblBorders>
          <w:tblCellMar>
            <w:top w:w="0" w:type="dxa"/>
            <w:left w:w="0" w:type="dxa"/>
            <w:bottom w:w="0" w:type="dxa"/>
            <w:right w:w="0" w:type="dxa"/>
          </w:tblCellMar>
        </w:tblPrEx>
        <w:trPr>
          <w:trHeight w:val="522" w:hRule="atLeast"/>
        </w:trPr>
        <w:tc>
          <w:tcPr>
            <w:tcW w:w="1594" w:type="dxa"/>
            <w:vAlign w:val="top"/>
          </w:tcPr>
          <w:p w14:paraId="2A490C4F">
            <w:pPr>
              <w:pStyle w:val="9"/>
              <w:spacing w:before="170" w:line="186" w:lineRule="auto"/>
              <w:ind w:left="230"/>
            </w:pPr>
            <w:r>
              <w:rPr>
                <w:color w:val="32373F"/>
                <w:spacing w:val="3"/>
              </w:rPr>
              <w:t>主份低增益</w:t>
            </w:r>
          </w:p>
        </w:tc>
        <w:tc>
          <w:tcPr>
            <w:tcW w:w="2291" w:type="dxa"/>
            <w:vAlign w:val="top"/>
          </w:tcPr>
          <w:p w14:paraId="7432A46F">
            <w:pPr>
              <w:pStyle w:val="9"/>
              <w:spacing w:before="128" w:line="384" w:lineRule="exact"/>
              <w:ind w:left="225"/>
              <w:rPr>
                <w:rFonts w:ascii="Arial" w:hAnsi="Arial" w:eastAsia="Arial" w:cs="Arial"/>
              </w:rPr>
            </w:pPr>
            <w:r>
              <w:rPr>
                <w:color w:val="32373F"/>
                <w:spacing w:val="2"/>
                <w:position w:val="3"/>
              </w:rPr>
              <w:t xml:space="preserve">约 </w:t>
            </w:r>
            <w:r>
              <w:rPr>
                <w:rFonts w:ascii="Arial" w:hAnsi="Arial" w:eastAsia="Arial" w:cs="Arial"/>
                <w:color w:val="32373F"/>
                <w:spacing w:val="2"/>
                <w:position w:val="3"/>
              </w:rPr>
              <w:t xml:space="preserve">642–1406 </w:t>
            </w:r>
            <w:r>
              <w:rPr>
                <w:rFonts w:ascii="Arial" w:hAnsi="Arial" w:eastAsia="Arial" w:cs="Arial"/>
                <w:color w:val="32373F"/>
                <w:position w:val="3"/>
              </w:rPr>
              <w:t>ADC</w:t>
            </w:r>
          </w:p>
        </w:tc>
        <w:tc>
          <w:tcPr>
            <w:tcW w:w="2410" w:type="dxa"/>
            <w:vAlign w:val="top"/>
          </w:tcPr>
          <w:p w14:paraId="02A40EC7">
            <w:pPr>
              <w:pStyle w:val="9"/>
              <w:spacing w:before="128" w:line="384" w:lineRule="exact"/>
              <w:ind w:left="414"/>
              <w:rPr>
                <w:rFonts w:ascii="Arial" w:hAnsi="Arial" w:eastAsia="Arial" w:cs="Arial"/>
              </w:rPr>
            </w:pPr>
            <w:r>
              <w:rPr>
                <w:color w:val="32373F"/>
                <w:spacing w:val="2"/>
                <w:position w:val="3"/>
              </w:rPr>
              <w:t xml:space="preserve">约 </w:t>
            </w:r>
            <w:r>
              <w:rPr>
                <w:rFonts w:ascii="Arial" w:hAnsi="Arial" w:eastAsia="Arial" w:cs="Arial"/>
                <w:color w:val="32373F"/>
                <w:spacing w:val="2"/>
                <w:position w:val="3"/>
              </w:rPr>
              <w:t xml:space="preserve">3.2–4.0 </w:t>
            </w:r>
            <w:r>
              <w:rPr>
                <w:rFonts w:ascii="Arial" w:hAnsi="Arial" w:eastAsia="Arial" w:cs="Arial"/>
                <w:color w:val="32373F"/>
                <w:position w:val="3"/>
              </w:rPr>
              <w:t>ADC</w:t>
            </w:r>
          </w:p>
        </w:tc>
        <w:tc>
          <w:tcPr>
            <w:tcW w:w="1370" w:type="dxa"/>
            <w:vAlign w:val="top"/>
          </w:tcPr>
          <w:p w14:paraId="0147C6CF">
            <w:pPr>
              <w:pStyle w:val="9"/>
              <w:spacing w:before="170" w:line="186" w:lineRule="auto"/>
              <w:ind w:left="344"/>
            </w:pPr>
            <w:r>
              <w:rPr>
                <w:color w:val="32373F"/>
                <w:spacing w:val="4"/>
              </w:rPr>
              <w:t>低增益</w:t>
            </w:r>
          </w:p>
        </w:tc>
      </w:tr>
      <w:tr w14:paraId="6AED5945">
        <w:tblPrEx>
          <w:tblBorders>
            <w:top w:val="single" w:color="DCDCDC" w:sz="6" w:space="0"/>
            <w:left w:val="single" w:color="DCDCDC" w:sz="6" w:space="0"/>
            <w:bottom w:val="single" w:color="DCDCDC" w:sz="6" w:space="0"/>
            <w:right w:val="single" w:color="DCDCDC" w:sz="6" w:space="0"/>
            <w:insideH w:val="single" w:color="DCDCDC" w:sz="6" w:space="0"/>
            <w:insideV w:val="single" w:color="DCDCDC" w:sz="6" w:space="0"/>
          </w:tblBorders>
          <w:tblCellMar>
            <w:top w:w="0" w:type="dxa"/>
            <w:left w:w="0" w:type="dxa"/>
            <w:bottom w:w="0" w:type="dxa"/>
            <w:right w:w="0" w:type="dxa"/>
          </w:tblCellMar>
        </w:tblPrEx>
        <w:trPr>
          <w:trHeight w:val="530" w:hRule="atLeast"/>
        </w:trPr>
        <w:tc>
          <w:tcPr>
            <w:tcW w:w="1594" w:type="dxa"/>
            <w:shd w:val="clear" w:color="auto" w:fill="F7F7F7"/>
            <w:vAlign w:val="top"/>
          </w:tcPr>
          <w:p w14:paraId="49951C18">
            <w:pPr>
              <w:pStyle w:val="9"/>
              <w:spacing w:before="172" w:line="187" w:lineRule="auto"/>
              <w:ind w:left="225"/>
            </w:pPr>
            <w:r>
              <w:rPr>
                <w:color w:val="32373F"/>
                <w:spacing w:val="4"/>
              </w:rPr>
              <w:t>备份低增益</w:t>
            </w:r>
          </w:p>
        </w:tc>
        <w:tc>
          <w:tcPr>
            <w:tcW w:w="2291" w:type="dxa"/>
            <w:shd w:val="clear" w:color="auto" w:fill="F7F7F7"/>
            <w:vAlign w:val="top"/>
          </w:tcPr>
          <w:p w14:paraId="52A3AFB6">
            <w:pPr>
              <w:pStyle w:val="9"/>
              <w:spacing w:before="131" w:line="384" w:lineRule="exact"/>
              <w:ind w:left="225"/>
              <w:rPr>
                <w:rFonts w:ascii="Arial" w:hAnsi="Arial" w:eastAsia="Arial" w:cs="Arial"/>
              </w:rPr>
            </w:pPr>
            <w:r>
              <w:rPr>
                <w:color w:val="32373F"/>
                <w:spacing w:val="2"/>
                <w:position w:val="4"/>
              </w:rPr>
              <w:t xml:space="preserve">约 </w:t>
            </w:r>
            <w:r>
              <w:rPr>
                <w:rFonts w:ascii="Arial" w:hAnsi="Arial" w:eastAsia="Arial" w:cs="Arial"/>
                <w:color w:val="32373F"/>
                <w:spacing w:val="2"/>
                <w:position w:val="4"/>
              </w:rPr>
              <w:t xml:space="preserve">799–1431 </w:t>
            </w:r>
            <w:r>
              <w:rPr>
                <w:rFonts w:ascii="Arial" w:hAnsi="Arial" w:eastAsia="Arial" w:cs="Arial"/>
                <w:color w:val="32373F"/>
                <w:position w:val="4"/>
              </w:rPr>
              <w:t>ADC</w:t>
            </w:r>
          </w:p>
        </w:tc>
        <w:tc>
          <w:tcPr>
            <w:tcW w:w="2410" w:type="dxa"/>
            <w:shd w:val="clear" w:color="auto" w:fill="F7F7F7"/>
            <w:vAlign w:val="top"/>
          </w:tcPr>
          <w:p w14:paraId="6A949E9D">
            <w:pPr>
              <w:pStyle w:val="9"/>
              <w:spacing w:before="131" w:line="384" w:lineRule="exact"/>
              <w:ind w:left="414"/>
              <w:rPr>
                <w:rFonts w:ascii="Arial" w:hAnsi="Arial" w:eastAsia="Arial" w:cs="Arial"/>
              </w:rPr>
            </w:pPr>
            <w:r>
              <w:rPr>
                <w:color w:val="32373F"/>
                <w:spacing w:val="2"/>
                <w:position w:val="4"/>
              </w:rPr>
              <w:t xml:space="preserve">约 </w:t>
            </w:r>
            <w:r>
              <w:rPr>
                <w:rFonts w:ascii="Arial" w:hAnsi="Arial" w:eastAsia="Arial" w:cs="Arial"/>
                <w:color w:val="32373F"/>
                <w:spacing w:val="2"/>
                <w:position w:val="4"/>
              </w:rPr>
              <w:t xml:space="preserve">3.0–4.0 </w:t>
            </w:r>
            <w:r>
              <w:rPr>
                <w:rFonts w:ascii="Arial" w:hAnsi="Arial" w:eastAsia="Arial" w:cs="Arial"/>
                <w:color w:val="32373F"/>
                <w:position w:val="4"/>
              </w:rPr>
              <w:t>ADC</w:t>
            </w:r>
          </w:p>
        </w:tc>
        <w:tc>
          <w:tcPr>
            <w:tcW w:w="1370" w:type="dxa"/>
            <w:shd w:val="clear" w:color="auto" w:fill="F7F7F7"/>
            <w:vAlign w:val="top"/>
          </w:tcPr>
          <w:p w14:paraId="20C91594">
            <w:pPr>
              <w:pStyle w:val="9"/>
              <w:spacing w:before="173" w:line="186" w:lineRule="auto"/>
              <w:ind w:left="344"/>
            </w:pPr>
            <w:r>
              <w:rPr>
                <w:color w:val="32373F"/>
                <w:spacing w:val="4"/>
              </w:rPr>
              <w:t>低增益</w:t>
            </w:r>
          </w:p>
        </w:tc>
      </w:tr>
    </w:tbl>
    <w:p w14:paraId="074C1CEB">
      <w:pPr>
        <w:pStyle w:val="2"/>
        <w:spacing w:before="322" w:line="231" w:lineRule="auto"/>
        <w:ind w:right="35" w:firstLine="1"/>
        <w:jc w:val="both"/>
      </w:pPr>
      <w:r>
        <w:rPr>
          <w:color w:val="32373F"/>
          <w:spacing w:val="3"/>
        </w:rPr>
        <w:t xml:space="preserve">从 </w:t>
      </w:r>
      <w:r>
        <w:rPr>
          <w:rFonts w:ascii="Arial" w:hAnsi="Arial" w:eastAsia="Arial" w:cs="Arial"/>
          <w:color w:val="32373F"/>
          <w:spacing w:val="3"/>
        </w:rPr>
        <w:t xml:space="preserve">σ </w:t>
      </w:r>
      <w:r>
        <w:rPr>
          <w:color w:val="32373F"/>
          <w:spacing w:val="3"/>
        </w:rPr>
        <w:t xml:space="preserve">来看，高增益链路的 </w:t>
      </w:r>
      <w:r>
        <w:rPr>
          <w:rFonts w:ascii="Arial" w:hAnsi="Arial" w:eastAsia="Arial" w:cs="Arial"/>
          <w:color w:val="32373F"/>
          <w:spacing w:val="3"/>
        </w:rPr>
        <w:t xml:space="preserve">σ </w:t>
      </w:r>
      <w:r>
        <w:rPr>
          <w:color w:val="32373F"/>
          <w:spacing w:val="3"/>
        </w:rPr>
        <w:t xml:space="preserve">约为 </w:t>
      </w:r>
      <w:r>
        <w:rPr>
          <w:rFonts w:ascii="Arial" w:hAnsi="Arial" w:eastAsia="Arial" w:cs="Arial"/>
          <w:color w:val="32373F"/>
          <w:spacing w:val="3"/>
        </w:rPr>
        <w:t xml:space="preserve">23–27 </w:t>
      </w:r>
      <w:r>
        <w:rPr>
          <w:rFonts w:ascii="Arial" w:hAnsi="Arial" w:eastAsia="Arial" w:cs="Arial"/>
          <w:color w:val="32373F"/>
        </w:rPr>
        <w:t>ADC</w:t>
      </w:r>
      <w:r>
        <w:rPr>
          <w:color w:val="32373F"/>
          <w:spacing w:val="3"/>
        </w:rPr>
        <w:t>，低增益链路约为</w:t>
      </w:r>
      <w:r>
        <w:rPr>
          <w:color w:val="32373F"/>
          <w:spacing w:val="24"/>
        </w:rPr>
        <w:t xml:space="preserve"> </w:t>
      </w:r>
      <w:r>
        <w:rPr>
          <w:rFonts w:ascii="Arial" w:hAnsi="Arial" w:eastAsia="Arial" w:cs="Arial"/>
          <w:color w:val="32373F"/>
          <w:spacing w:val="3"/>
        </w:rPr>
        <w:t xml:space="preserve">3–4 </w:t>
      </w:r>
      <w:r>
        <w:rPr>
          <w:rFonts w:ascii="Arial" w:hAnsi="Arial" w:eastAsia="Arial" w:cs="Arial"/>
          <w:color w:val="32373F"/>
        </w:rPr>
        <w:t>ADC</w:t>
      </w:r>
      <w:r>
        <w:rPr>
          <w:color w:val="32373F"/>
          <w:spacing w:val="3"/>
        </w:rPr>
        <w:t>，两者之比约为</w:t>
      </w:r>
      <w:r>
        <w:rPr>
          <w:color w:val="32373F"/>
          <w:spacing w:val="25"/>
          <w:w w:val="101"/>
        </w:rPr>
        <w:t xml:space="preserve"> </w:t>
      </w:r>
      <w:r>
        <w:rPr>
          <w:rFonts w:ascii="Arial" w:hAnsi="Arial" w:eastAsia="Arial" w:cs="Arial"/>
          <w:color w:val="32373F"/>
          <w:spacing w:val="3"/>
        </w:rPr>
        <w:t xml:space="preserve">7–9 </w:t>
      </w:r>
      <w:r>
        <w:rPr>
          <w:color w:val="32373F"/>
          <w:spacing w:val="3"/>
        </w:rPr>
        <w:t>倍，</w:t>
      </w:r>
      <w:r>
        <w:rPr>
          <w:color w:val="32373F"/>
          <w:spacing w:val="2"/>
        </w:rPr>
        <w:t>与两</w:t>
      </w:r>
      <w:r>
        <w:rPr>
          <w:color w:val="32373F"/>
          <w:spacing w:val="4"/>
        </w:rPr>
        <w:t>档增益约</w:t>
      </w:r>
      <w:r>
        <w:rPr>
          <w:color w:val="32373F"/>
          <w:spacing w:val="23"/>
        </w:rPr>
        <w:t xml:space="preserve"> </w:t>
      </w:r>
      <w:r>
        <w:rPr>
          <w:rFonts w:ascii="Arial" w:hAnsi="Arial" w:eastAsia="Arial" w:cs="Arial"/>
          <w:color w:val="32373F"/>
          <w:spacing w:val="4"/>
        </w:rPr>
        <w:t xml:space="preserve">10 </w:t>
      </w:r>
      <w:r>
        <w:rPr>
          <w:color w:val="32373F"/>
          <w:spacing w:val="4"/>
        </w:rPr>
        <w:t xml:space="preserve">倍的放大倍数差异基本吻合。将高增益链路的 </w:t>
      </w:r>
      <w:r>
        <w:rPr>
          <w:rFonts w:ascii="Arial" w:hAnsi="Arial" w:eastAsia="Arial" w:cs="Arial"/>
          <w:color w:val="32373F"/>
          <w:spacing w:val="4"/>
        </w:rPr>
        <w:t xml:space="preserve">σ </w:t>
      </w:r>
      <w:r>
        <w:rPr>
          <w:color w:val="32373F"/>
          <w:spacing w:val="4"/>
        </w:rPr>
        <w:t>折算至与低增益相同的增益尺度后，其等效基线宽度略窄于低增益水平，说明两档增益读出链路均具有良好的基线稳定性，噪声性能符</w:t>
      </w:r>
      <w:r>
        <w:rPr>
          <w:color w:val="32373F"/>
          <w:spacing w:val="3"/>
        </w:rPr>
        <w:t>合预期。</w:t>
      </w:r>
    </w:p>
    <w:p w14:paraId="42C0BE93">
      <w:pPr>
        <w:pStyle w:val="2"/>
        <w:spacing w:before="331" w:line="228" w:lineRule="auto"/>
        <w:ind w:left="2"/>
      </w:pPr>
      <w:r>
        <w:rPr>
          <w:color w:val="32373F"/>
          <w:spacing w:val="5"/>
        </w:rPr>
        <w:t>从主份与备份两端读出的横向对比来看，两端台基分布均保持稳定。高增益方面，主份链路的通</w:t>
      </w:r>
      <w:r>
        <w:rPr>
          <w:color w:val="32373F"/>
          <w:spacing w:val="4"/>
        </w:rPr>
        <w:t>道间台基</w:t>
      </w:r>
      <w:r>
        <w:rPr>
          <w:color w:val="32373F"/>
          <w:spacing w:val="5"/>
        </w:rPr>
        <w:t xml:space="preserve">均值差异相对较小，备份链路的通道间分散程度略大，但两者 </w:t>
      </w:r>
      <w:r>
        <w:rPr>
          <w:rFonts w:ascii="Arial" w:hAnsi="Arial" w:eastAsia="Arial" w:cs="Arial"/>
          <w:color w:val="32373F"/>
          <w:spacing w:val="5"/>
        </w:rPr>
        <w:t>σ</w:t>
      </w:r>
      <w:r>
        <w:rPr>
          <w:rFonts w:ascii="Arial" w:hAnsi="Arial" w:eastAsia="Arial" w:cs="Arial"/>
          <w:color w:val="32373F"/>
          <w:spacing w:val="4"/>
        </w:rPr>
        <w:t xml:space="preserve"> </w:t>
      </w:r>
      <w:r>
        <w:rPr>
          <w:color w:val="32373F"/>
          <w:spacing w:val="4"/>
        </w:rPr>
        <w:t>均处于正常范围内，未出现异常展宽迹</w:t>
      </w:r>
      <w:r>
        <w:rPr>
          <w:color w:val="32373F"/>
          <w:spacing w:val="2"/>
        </w:rPr>
        <w:t xml:space="preserve">象。低增益方面，主份与备份链路均呈现极窄的单峰分布，   </w:t>
      </w:r>
      <w:r>
        <w:rPr>
          <w:rFonts w:ascii="Arial" w:hAnsi="Arial" w:eastAsia="Arial" w:cs="Arial"/>
          <w:color w:val="32373F"/>
          <w:spacing w:val="2"/>
        </w:rPr>
        <w:t>σ</w:t>
      </w:r>
      <w:r>
        <w:rPr>
          <w:rFonts w:ascii="Arial" w:hAnsi="Arial" w:eastAsia="Arial" w:cs="Arial"/>
          <w:color w:val="32373F"/>
          <w:spacing w:val="1"/>
        </w:rPr>
        <w:t xml:space="preserve"> </w:t>
      </w:r>
      <w:r>
        <w:rPr>
          <w:color w:val="32373F"/>
          <w:spacing w:val="1"/>
        </w:rPr>
        <w:t xml:space="preserve">稳定在 </w:t>
      </w:r>
      <w:r>
        <w:rPr>
          <w:rFonts w:ascii="Arial" w:hAnsi="Arial" w:eastAsia="Arial" w:cs="Arial"/>
          <w:color w:val="32373F"/>
          <w:spacing w:val="1"/>
        </w:rPr>
        <w:t xml:space="preserve">3–4 </w:t>
      </w:r>
      <w:r>
        <w:rPr>
          <w:rFonts w:ascii="Arial" w:hAnsi="Arial" w:eastAsia="Arial" w:cs="Arial"/>
          <w:color w:val="32373F"/>
        </w:rPr>
        <w:t>ADC</w:t>
      </w:r>
      <w:r>
        <w:rPr>
          <w:color w:val="32373F"/>
          <w:spacing w:val="1"/>
        </w:rPr>
        <w:t>，表明两端低增益读出在</w:t>
      </w:r>
      <w:r>
        <w:rPr>
          <w:color w:val="32373F"/>
          <w:spacing w:val="2"/>
        </w:rPr>
        <w:t>高温保持阶段均具有良好的基线稳定性。</w:t>
      </w:r>
    </w:p>
    <w:p w14:paraId="7E446568">
      <w:pPr>
        <w:pStyle w:val="2"/>
        <w:spacing w:before="304" w:line="187" w:lineRule="auto"/>
        <w:ind w:left="4"/>
      </w:pPr>
      <w:r>
        <w:rPr>
          <w:color w:val="32373F"/>
          <w:spacing w:val="2"/>
        </w:rPr>
        <w:t xml:space="preserve">综合以上分析，高温保持阶段 </w:t>
      </w:r>
      <w:r>
        <w:rPr>
          <w:rFonts w:ascii="Arial" w:hAnsi="Arial" w:eastAsia="Arial" w:cs="Arial"/>
          <w:color w:val="32373F"/>
        </w:rPr>
        <w:t>Calo</w:t>
      </w:r>
      <w:r>
        <w:rPr>
          <w:rFonts w:ascii="Arial" w:hAnsi="Arial" w:eastAsia="Arial" w:cs="Arial"/>
          <w:color w:val="32373F"/>
          <w:spacing w:val="38"/>
          <w:w w:val="101"/>
        </w:rPr>
        <w:t xml:space="preserve"> </w:t>
      </w:r>
      <w:r>
        <w:rPr>
          <w:color w:val="32373F"/>
          <w:spacing w:val="2"/>
        </w:rPr>
        <w:t>四组读出链路的台基结果表明：</w:t>
      </w:r>
    </w:p>
    <w:p w14:paraId="23CE524C">
      <w:pPr>
        <w:pStyle w:val="2"/>
        <w:spacing w:before="325"/>
        <w:ind w:left="156"/>
      </w:pPr>
      <w:r>
        <w:rPr>
          <w:rFonts w:ascii="Arial" w:hAnsi="Arial" w:eastAsia="Arial" w:cs="Arial"/>
          <w:color w:val="32373F"/>
          <w:spacing w:val="1"/>
        </w:rPr>
        <w:t xml:space="preserve">1. 25 </w:t>
      </w:r>
      <w:r>
        <w:rPr>
          <w:color w:val="32373F"/>
          <w:spacing w:val="1"/>
        </w:rPr>
        <w:t>个晶体单元全部正常读出，未发现失效通道；</w:t>
      </w:r>
    </w:p>
    <w:p w14:paraId="5210F6D2">
      <w:pPr>
        <w:pStyle w:val="2"/>
        <w:spacing w:before="114" w:line="187" w:lineRule="auto"/>
        <w:ind w:left="138"/>
      </w:pPr>
      <w:r>
        <w:rPr>
          <w:rFonts w:ascii="Arial" w:hAnsi="Arial" w:eastAsia="Arial" w:cs="Arial"/>
          <w:color w:val="32373F"/>
          <w:spacing w:val="3"/>
        </w:rPr>
        <w:t xml:space="preserve">2. </w:t>
      </w:r>
      <w:r>
        <w:rPr>
          <w:color w:val="32373F"/>
          <w:spacing w:val="3"/>
        </w:rPr>
        <w:t>各通道台基分布均呈单峰结构，高斯拟合结</w:t>
      </w:r>
      <w:r>
        <w:rPr>
          <w:color w:val="32373F"/>
          <w:spacing w:val="2"/>
        </w:rPr>
        <w:t>果稳定可靠；</w:t>
      </w:r>
    </w:p>
    <w:p w14:paraId="41F46B19">
      <w:pPr>
        <w:pStyle w:val="2"/>
        <w:spacing w:before="114"/>
        <w:ind w:left="141"/>
      </w:pPr>
      <w:r>
        <w:rPr>
          <w:rFonts w:ascii="Arial" w:hAnsi="Arial" w:eastAsia="Arial" w:cs="Arial"/>
          <w:color w:val="32373F"/>
          <w:spacing w:val="3"/>
        </w:rPr>
        <w:t xml:space="preserve">3. </w:t>
      </w:r>
      <w:r>
        <w:rPr>
          <w:color w:val="32373F"/>
          <w:spacing w:val="3"/>
        </w:rPr>
        <w:t>通道间台基均值存在一定偏差，属于读出链路固有特性差异，并非异常；</w:t>
      </w:r>
    </w:p>
    <w:p w14:paraId="13152220">
      <w:pPr>
        <w:pStyle w:val="2"/>
        <w:spacing w:before="73" w:line="239" w:lineRule="auto"/>
        <w:ind w:left="135"/>
      </w:pPr>
      <w:r>
        <w:rPr>
          <w:rFonts w:ascii="Arial" w:hAnsi="Arial" w:eastAsia="Arial" w:cs="Arial"/>
          <w:color w:val="32373F"/>
          <w:spacing w:val="3"/>
        </w:rPr>
        <w:t xml:space="preserve">4. </w:t>
      </w:r>
      <w:r>
        <w:rPr>
          <w:color w:val="32373F"/>
          <w:spacing w:val="3"/>
        </w:rPr>
        <w:t xml:space="preserve">高增益链路 </w:t>
      </w:r>
      <w:r>
        <w:rPr>
          <w:rFonts w:ascii="Arial" w:hAnsi="Arial" w:eastAsia="Arial" w:cs="Arial"/>
          <w:color w:val="32373F"/>
          <w:spacing w:val="3"/>
        </w:rPr>
        <w:t xml:space="preserve">σ </w:t>
      </w:r>
      <w:r>
        <w:rPr>
          <w:color w:val="32373F"/>
          <w:spacing w:val="3"/>
        </w:rPr>
        <w:t xml:space="preserve">约为 </w:t>
      </w:r>
      <w:r>
        <w:rPr>
          <w:rFonts w:ascii="Arial" w:hAnsi="Arial" w:eastAsia="Arial" w:cs="Arial"/>
          <w:color w:val="32373F"/>
          <w:spacing w:val="3"/>
        </w:rPr>
        <w:t xml:space="preserve">23–27 </w:t>
      </w:r>
      <w:r>
        <w:rPr>
          <w:rFonts w:ascii="Arial" w:hAnsi="Arial" w:eastAsia="Arial" w:cs="Arial"/>
          <w:color w:val="32373F"/>
        </w:rPr>
        <w:t>ADC</w:t>
      </w:r>
      <w:r>
        <w:rPr>
          <w:color w:val="32373F"/>
          <w:spacing w:val="3"/>
        </w:rPr>
        <w:t>，低增益链路</w:t>
      </w:r>
      <w:r>
        <w:rPr>
          <w:color w:val="32373F"/>
          <w:spacing w:val="2"/>
        </w:rPr>
        <w:t>约为</w:t>
      </w:r>
      <w:r>
        <w:rPr>
          <w:color w:val="32373F"/>
          <w:spacing w:val="24"/>
        </w:rPr>
        <w:t xml:space="preserve"> </w:t>
      </w:r>
      <w:r>
        <w:rPr>
          <w:rFonts w:ascii="Arial" w:hAnsi="Arial" w:eastAsia="Arial" w:cs="Arial"/>
          <w:color w:val="32373F"/>
          <w:spacing w:val="2"/>
        </w:rPr>
        <w:t xml:space="preserve">3–4 </w:t>
      </w:r>
      <w:r>
        <w:rPr>
          <w:rFonts w:ascii="Arial" w:hAnsi="Arial" w:eastAsia="Arial" w:cs="Arial"/>
          <w:color w:val="32373F"/>
        </w:rPr>
        <w:t>ADC</w:t>
      </w:r>
      <w:r>
        <w:rPr>
          <w:color w:val="32373F"/>
          <w:spacing w:val="2"/>
        </w:rPr>
        <w:t>，两者比值与增益倍数相符；</w:t>
      </w:r>
    </w:p>
    <w:p w14:paraId="051C734B">
      <w:pPr>
        <w:pStyle w:val="2"/>
        <w:spacing w:before="74"/>
        <w:ind w:left="141"/>
      </w:pPr>
      <w:r>
        <w:rPr>
          <w:rFonts w:ascii="Arial" w:hAnsi="Arial" w:eastAsia="Arial" w:cs="Arial"/>
          <w:color w:val="32373F"/>
          <w:spacing w:val="4"/>
        </w:rPr>
        <w:t xml:space="preserve">5. </w:t>
      </w:r>
      <w:r>
        <w:rPr>
          <w:color w:val="32373F"/>
          <w:spacing w:val="4"/>
        </w:rPr>
        <w:t>折算至相同增益尺度后，高增益等效基线宽度</w:t>
      </w:r>
      <w:r>
        <w:rPr>
          <w:color w:val="32373F"/>
          <w:spacing w:val="3"/>
        </w:rPr>
        <w:t>略窄于低增益，两档增益噪声性能均表现正常；</w:t>
      </w:r>
    </w:p>
    <w:p w14:paraId="6814AF16">
      <w:pPr>
        <w:pStyle w:val="2"/>
        <w:spacing w:before="73"/>
        <w:ind w:left="140"/>
      </w:pPr>
      <w:r>
        <w:rPr>
          <w:rFonts w:ascii="Arial" w:hAnsi="Arial" w:eastAsia="Arial" w:cs="Arial"/>
          <w:color w:val="32373F"/>
          <w:spacing w:val="2"/>
        </w:rPr>
        <w:t xml:space="preserve">6. </w:t>
      </w:r>
      <w:r>
        <w:rPr>
          <w:color w:val="32373F"/>
          <w:spacing w:val="2"/>
        </w:rPr>
        <w:t>主份与备份两端读出链路均未发现明显异常通道。</w:t>
      </w:r>
    </w:p>
    <w:p w14:paraId="02FF553F">
      <w:pPr>
        <w:pStyle w:val="2"/>
        <w:spacing w:before="247"/>
        <w:ind w:left="2" w:right="149" w:firstLine="15"/>
      </w:pPr>
      <w:r>
        <w:rPr>
          <w:color w:val="32373F"/>
          <w:spacing w:val="3"/>
        </w:rPr>
        <w:t xml:space="preserve">因此，从台基分析结果来看， </w:t>
      </w:r>
      <w:r>
        <w:rPr>
          <w:rFonts w:ascii="Arial" w:hAnsi="Arial" w:eastAsia="Arial" w:cs="Arial"/>
          <w:color w:val="32373F"/>
        </w:rPr>
        <w:t>Calo</w:t>
      </w:r>
      <w:r>
        <w:rPr>
          <w:rFonts w:ascii="Arial" w:hAnsi="Arial" w:eastAsia="Arial" w:cs="Arial"/>
          <w:color w:val="32373F"/>
          <w:spacing w:val="3"/>
        </w:rPr>
        <w:t xml:space="preserve"> </w:t>
      </w:r>
      <w:r>
        <w:rPr>
          <w:color w:val="32373F"/>
          <w:spacing w:val="3"/>
        </w:rPr>
        <w:t xml:space="preserve">在热循环过程中的电子学读出工作正常，基线分布稳定，各通道台基均值与 </w:t>
      </w:r>
      <w:r>
        <w:rPr>
          <w:rFonts w:ascii="Arial" w:hAnsi="Arial" w:eastAsia="Arial" w:cs="Arial"/>
          <w:color w:val="32373F"/>
          <w:spacing w:val="3"/>
        </w:rPr>
        <w:t xml:space="preserve">σ </w:t>
      </w:r>
      <w:r>
        <w:rPr>
          <w:color w:val="32373F"/>
          <w:spacing w:val="3"/>
        </w:rPr>
        <w:t>均未出现随温度的系统性漂移，未观测到明显的噪声异常或通道失效现象。</w:t>
      </w:r>
    </w:p>
    <w:p w14:paraId="5462C38E">
      <w:pPr>
        <w:spacing w:before="219" w:line="30" w:lineRule="exact"/>
      </w:pPr>
      <w:r>
        <w:drawing>
          <wp:inline distT="0" distB="0" distL="0" distR="0">
            <wp:extent cx="6572250" cy="19050"/>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40"/>
                    <a:stretch>
                      <a:fillRect/>
                    </a:stretch>
                  </pic:blipFill>
                  <pic:spPr>
                    <a:xfrm>
                      <a:off x="0" y="0"/>
                      <a:ext cx="6572250" cy="19050"/>
                    </a:xfrm>
                    <a:prstGeom prst="rect">
                      <a:avLst/>
                    </a:prstGeom>
                  </pic:spPr>
                </pic:pic>
              </a:graphicData>
            </a:graphic>
          </wp:inline>
        </w:drawing>
      </w:r>
    </w:p>
    <w:p w14:paraId="5E4737FE">
      <w:pPr>
        <w:pStyle w:val="2"/>
        <w:spacing w:before="209" w:line="188" w:lineRule="auto"/>
        <w:ind w:left="4"/>
        <w:outlineLvl w:val="2"/>
        <w:rPr>
          <w:sz w:val="24"/>
          <w:szCs w:val="24"/>
        </w:rPr>
      </w:pPr>
      <w:r>
        <w:rPr>
          <w:rFonts w:ascii="Arial" w:hAnsi="Arial" w:eastAsia="Arial" w:cs="Arial"/>
          <w:b/>
          <w:bCs/>
          <w:color w:val="32373F"/>
          <w:spacing w:val="8"/>
          <w:sz w:val="24"/>
          <w:szCs w:val="24"/>
        </w:rPr>
        <w:t xml:space="preserve">4.2 </w:t>
      </w:r>
      <w:r>
        <w:rPr>
          <w:b/>
          <w:bCs/>
          <w:color w:val="32373F"/>
          <w:spacing w:val="8"/>
          <w:sz w:val="24"/>
          <w:szCs w:val="24"/>
        </w:rPr>
        <w:t>刻度（</w:t>
      </w:r>
      <w:r>
        <w:rPr>
          <w:rFonts w:ascii="Arial" w:hAnsi="Arial" w:eastAsia="Arial" w:cs="Arial"/>
          <w:b/>
          <w:bCs/>
          <w:color w:val="32373F"/>
          <w:sz w:val="24"/>
          <w:szCs w:val="24"/>
        </w:rPr>
        <w:t>calibration</w:t>
      </w:r>
      <w:r>
        <w:rPr>
          <w:b/>
          <w:bCs/>
          <w:color w:val="32373F"/>
          <w:spacing w:val="8"/>
          <w:sz w:val="24"/>
          <w:szCs w:val="24"/>
        </w:rPr>
        <w:t>）模式分析</w:t>
      </w:r>
    </w:p>
    <w:p w14:paraId="3223796A">
      <w:pPr>
        <w:spacing w:line="188" w:lineRule="auto"/>
        <w:rPr>
          <w:sz w:val="24"/>
          <w:szCs w:val="24"/>
        </w:rPr>
        <w:sectPr>
          <w:pgSz w:w="11919" w:h="16858"/>
          <w:pgMar w:top="400" w:right="783" w:bottom="0" w:left="785" w:header="0" w:footer="0" w:gutter="0"/>
          <w:cols w:space="720" w:num="1"/>
        </w:sectPr>
      </w:pPr>
    </w:p>
    <w:p w14:paraId="3F4B4596">
      <w:pPr>
        <w:pStyle w:val="2"/>
        <w:spacing w:before="222" w:line="187" w:lineRule="auto"/>
        <w:ind w:left="2"/>
      </w:pPr>
      <w:r>
        <w:rPr>
          <w:color w:val="32373F"/>
          <w:spacing w:val="4"/>
        </w:rPr>
        <w:t xml:space="preserve">增益稳定性是评价 </w:t>
      </w:r>
      <w:r>
        <w:rPr>
          <w:rFonts w:ascii="Arial" w:hAnsi="Arial" w:eastAsia="Arial" w:cs="Arial"/>
          <w:color w:val="32373F"/>
        </w:rPr>
        <w:t>Calo</w:t>
      </w:r>
      <w:r>
        <w:rPr>
          <w:rFonts w:ascii="Arial" w:hAnsi="Arial" w:eastAsia="Arial" w:cs="Arial"/>
          <w:color w:val="32373F"/>
          <w:spacing w:val="4"/>
        </w:rPr>
        <w:t xml:space="preserve"> </w:t>
      </w:r>
      <w:r>
        <w:rPr>
          <w:color w:val="32373F"/>
          <w:spacing w:val="4"/>
        </w:rPr>
        <w:t>能量测量能力的重要指标。由于闪烁体光输出、雪崩光电二极管（</w:t>
      </w:r>
      <w:r>
        <w:rPr>
          <w:rFonts w:ascii="Arial" w:hAnsi="Arial" w:eastAsia="Arial" w:cs="Arial"/>
          <w:color w:val="32373F"/>
        </w:rPr>
        <w:t>APD</w:t>
      </w:r>
      <w:r>
        <w:rPr>
          <w:color w:val="32373F"/>
          <w:spacing w:val="4"/>
        </w:rPr>
        <w:t>）增益、</w:t>
      </w:r>
    </w:p>
    <w:p w14:paraId="1A68F702">
      <w:pPr>
        <w:pStyle w:val="2"/>
        <w:spacing w:before="65" w:line="239" w:lineRule="auto"/>
        <w:ind w:left="3" w:firstLine="1"/>
      </w:pPr>
      <w:r>
        <w:rPr>
          <w:color w:val="32373F"/>
          <w:spacing w:val="5"/>
        </w:rPr>
        <w:t>前端电子学放大倍数等均可能随温度发生变化，因此热循环过程中需要重点监测各读出通</w:t>
      </w:r>
      <w:r>
        <w:rPr>
          <w:color w:val="32373F"/>
          <w:spacing w:val="4"/>
        </w:rPr>
        <w:t>道的电子学增益</w:t>
      </w:r>
      <w:r>
        <w:rPr>
          <w:color w:val="32373F"/>
          <w:spacing w:val="3"/>
        </w:rPr>
        <w:t>线性特性，以判断刻度响应是否在温度变化条件下保持稳定。</w:t>
      </w:r>
    </w:p>
    <w:p w14:paraId="320B765C">
      <w:pPr>
        <w:pStyle w:val="2"/>
        <w:spacing w:before="268" w:line="236" w:lineRule="auto"/>
        <w:ind w:right="137" w:firstLine="2"/>
        <w:jc w:val="both"/>
      </w:pPr>
      <w:r>
        <w:rPr>
          <w:color w:val="32373F"/>
          <w:spacing w:val="5"/>
        </w:rPr>
        <w:t>刻度测试时，向前端电子学注入</w:t>
      </w:r>
      <w:r>
        <w:rPr>
          <w:b/>
          <w:bCs/>
          <w:color w:val="32373F"/>
          <w:spacing w:val="5"/>
        </w:rPr>
        <w:t>幅度逐级可调</w:t>
      </w:r>
      <w:r>
        <w:rPr>
          <w:color w:val="32373F"/>
          <w:spacing w:val="5"/>
        </w:rPr>
        <w:t>的脉冲激励信号，同步记录不同偏压步进对应的</w:t>
      </w:r>
      <w:r>
        <w:rPr>
          <w:color w:val="32373F"/>
          <w:spacing w:val="4"/>
        </w:rPr>
        <w:t>通道平均</w:t>
      </w:r>
      <w:r>
        <w:rPr>
          <w:rFonts w:ascii="Arial" w:hAnsi="Arial" w:eastAsia="Arial" w:cs="Arial"/>
          <w:color w:val="32373F"/>
        </w:rPr>
        <w:t>ADC</w:t>
      </w:r>
      <w:r>
        <w:rPr>
          <w:rFonts w:ascii="Arial" w:hAnsi="Arial" w:eastAsia="Arial" w:cs="Arial"/>
          <w:color w:val="32373F"/>
          <w:spacing w:val="5"/>
        </w:rPr>
        <w:t xml:space="preserve"> </w:t>
      </w:r>
      <w:r>
        <w:rPr>
          <w:color w:val="32373F"/>
          <w:spacing w:val="5"/>
        </w:rPr>
        <w:t>计数，拟合得到电子学信号响应曲线，进而标定各读出链路的增益系数，并评估其信号线性响应特</w:t>
      </w:r>
      <w:r>
        <w:rPr>
          <w:color w:val="32373F"/>
          <w:spacing w:val="-9"/>
        </w:rPr>
        <w:t>性。</w:t>
      </w:r>
    </w:p>
    <w:p w14:paraId="0D9228B2">
      <w:pPr>
        <w:pStyle w:val="2"/>
        <w:spacing w:before="266" w:line="187" w:lineRule="auto"/>
        <w:ind w:left="4"/>
        <w:outlineLvl w:val="3"/>
      </w:pPr>
      <w:r>
        <w:rPr>
          <w:rFonts w:ascii="Arial" w:hAnsi="Arial" w:eastAsia="Arial" w:cs="Arial"/>
          <w:b/>
          <w:bCs/>
          <w:color w:val="32373F"/>
          <w:spacing w:val="3"/>
        </w:rPr>
        <w:t xml:space="preserve">4.2.1 </w:t>
      </w:r>
      <w:r>
        <w:rPr>
          <w:b/>
          <w:bCs/>
          <w:color w:val="32373F"/>
          <w:spacing w:val="3"/>
        </w:rPr>
        <w:t xml:space="preserve">主份高增益 </w:t>
      </w:r>
      <w:r>
        <w:rPr>
          <w:rFonts w:ascii="Arial" w:hAnsi="Arial" w:eastAsia="Arial" w:cs="Arial"/>
          <w:b/>
          <w:bCs/>
          <w:color w:val="32373F"/>
        </w:rPr>
        <w:t>ADC</w:t>
      </w:r>
      <w:r>
        <w:rPr>
          <w:rFonts w:ascii="Arial" w:hAnsi="Arial" w:eastAsia="Arial" w:cs="Arial"/>
          <w:b/>
          <w:bCs/>
          <w:color w:val="32373F"/>
          <w:spacing w:val="3"/>
        </w:rPr>
        <w:t xml:space="preserve"> </w:t>
      </w:r>
      <w:r>
        <w:rPr>
          <w:rFonts w:ascii="Arial" w:hAnsi="Arial" w:eastAsia="Arial" w:cs="Arial"/>
          <w:b/>
          <w:bCs/>
          <w:color w:val="32373F"/>
        </w:rPr>
        <w:t>vs</w:t>
      </w:r>
      <w:r>
        <w:rPr>
          <w:rFonts w:ascii="Arial" w:hAnsi="Arial" w:eastAsia="Arial" w:cs="Arial"/>
          <w:b/>
          <w:bCs/>
          <w:color w:val="32373F"/>
          <w:spacing w:val="3"/>
        </w:rPr>
        <w:t xml:space="preserve">. </w:t>
      </w:r>
      <w:r>
        <w:rPr>
          <w:b/>
          <w:bCs/>
          <w:color w:val="32373F"/>
          <w:spacing w:val="3"/>
        </w:rPr>
        <w:t>偏压</w:t>
      </w:r>
    </w:p>
    <w:p w14:paraId="6E58F8E6">
      <w:pPr>
        <w:spacing w:before="138" w:line="10185" w:lineRule="exact"/>
      </w:pPr>
      <w:r>
        <w:rPr>
          <w:position w:val="-203"/>
        </w:rPr>
        <w:drawing>
          <wp:inline distT="0" distB="0" distL="0" distR="0">
            <wp:extent cx="6572250" cy="6467475"/>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41"/>
                    <a:stretch>
                      <a:fillRect/>
                    </a:stretch>
                  </pic:blipFill>
                  <pic:spPr>
                    <a:xfrm>
                      <a:off x="0" y="0"/>
                      <a:ext cx="6572250" cy="6467475"/>
                    </a:xfrm>
                    <a:prstGeom prst="rect">
                      <a:avLst/>
                    </a:prstGeom>
                  </pic:spPr>
                </pic:pic>
              </a:graphicData>
            </a:graphic>
          </wp:inline>
        </w:drawing>
      </w:r>
    </w:p>
    <w:p w14:paraId="46A96708">
      <w:pPr>
        <w:pStyle w:val="2"/>
        <w:spacing w:before="321"/>
        <w:ind w:left="3"/>
      </w:pPr>
      <w:r>
        <w:rPr>
          <w:color w:val="32373F"/>
          <w:spacing w:val="4"/>
        </w:rPr>
        <w:t xml:space="preserve">该图展示了高温保持阶段主份高增益读出链路 </w:t>
      </w:r>
      <w:r>
        <w:rPr>
          <w:rFonts w:ascii="Arial" w:hAnsi="Arial" w:eastAsia="Arial" w:cs="Arial"/>
          <w:color w:val="32373F"/>
          <w:spacing w:val="4"/>
        </w:rPr>
        <w:t xml:space="preserve">25 </w:t>
      </w:r>
      <w:r>
        <w:rPr>
          <w:color w:val="32373F"/>
          <w:spacing w:val="3"/>
        </w:rPr>
        <w:t xml:space="preserve">个晶体通道的 </w:t>
      </w:r>
      <w:r>
        <w:rPr>
          <w:rFonts w:ascii="Arial" w:hAnsi="Arial" w:eastAsia="Arial" w:cs="Arial"/>
          <w:color w:val="32373F"/>
        </w:rPr>
        <w:t>ADC</w:t>
      </w:r>
      <w:r>
        <w:rPr>
          <w:rFonts w:ascii="Arial" w:hAnsi="Arial" w:eastAsia="Arial" w:cs="Arial"/>
          <w:color w:val="32373F"/>
          <w:spacing w:val="3"/>
        </w:rPr>
        <w:t xml:space="preserve"> </w:t>
      </w:r>
      <w:r>
        <w:rPr>
          <w:color w:val="32373F"/>
          <w:spacing w:val="3"/>
        </w:rPr>
        <w:t>均值随注入偏压的变化关系。</w:t>
      </w:r>
    </w:p>
    <w:p w14:paraId="3DFF69E3">
      <w:pPr>
        <w:pStyle w:val="2"/>
        <w:spacing w:before="281" w:line="233" w:lineRule="auto"/>
        <w:ind w:right="86" w:firstLine="1"/>
        <w:jc w:val="both"/>
      </w:pPr>
      <w:r>
        <w:rPr>
          <w:color w:val="32373F"/>
          <w:spacing w:val="5"/>
        </w:rPr>
        <w:t>从各子图可以看出，各通道均呈现出典型的非线性饱和特征：在低偏压区</w:t>
      </w:r>
      <w:r>
        <w:rPr>
          <w:color w:val="32373F"/>
          <w:spacing w:val="4"/>
        </w:rPr>
        <w:t xml:space="preserve">间（约 </w:t>
      </w:r>
      <w:r>
        <w:rPr>
          <w:rFonts w:ascii="Arial" w:hAnsi="Arial" w:eastAsia="Arial" w:cs="Arial"/>
          <w:color w:val="32373F"/>
          <w:spacing w:val="4"/>
        </w:rPr>
        <w:t xml:space="preserve">0–500 </w:t>
      </w:r>
      <w:r>
        <w:rPr>
          <w:rFonts w:ascii="Arial" w:hAnsi="Arial" w:eastAsia="Arial" w:cs="Arial"/>
          <w:color w:val="32373F"/>
        </w:rPr>
        <w:t>mV</w:t>
      </w:r>
      <w:r>
        <w:rPr>
          <w:color w:val="32373F"/>
          <w:spacing w:val="5"/>
        </w:rPr>
        <w:t>），</w:t>
      </w:r>
      <w:r>
        <w:rPr>
          <w:rFonts w:ascii="Arial" w:hAnsi="Arial" w:eastAsia="Arial" w:cs="Arial"/>
          <w:color w:val="32373F"/>
        </w:rPr>
        <w:t>ADC</w:t>
      </w:r>
      <w:r>
        <w:rPr>
          <w:rFonts w:ascii="Arial" w:hAnsi="Arial" w:eastAsia="Arial" w:cs="Arial"/>
          <w:color w:val="32373F"/>
          <w:spacing w:val="4"/>
        </w:rPr>
        <w:t xml:space="preserve"> </w:t>
      </w:r>
      <w:r>
        <w:rPr>
          <w:color w:val="32373F"/>
          <w:spacing w:val="4"/>
        </w:rPr>
        <w:t>响</w:t>
      </w:r>
      <w:r>
        <w:rPr>
          <w:color w:val="32373F"/>
          <w:spacing w:val="5"/>
        </w:rPr>
        <w:t>应随偏压线性增长，红色直线拟合结果与数据点吻合良好；当偏压超</w:t>
      </w:r>
      <w:r>
        <w:rPr>
          <w:color w:val="32373F"/>
          <w:spacing w:val="4"/>
        </w:rPr>
        <w:t xml:space="preserve">过约 </w:t>
      </w:r>
      <w:r>
        <w:rPr>
          <w:rFonts w:ascii="Arial" w:hAnsi="Arial" w:eastAsia="Arial" w:cs="Arial"/>
          <w:color w:val="32373F"/>
          <w:spacing w:val="4"/>
        </w:rPr>
        <w:t xml:space="preserve">500–800 </w:t>
      </w:r>
      <w:r>
        <w:rPr>
          <w:rFonts w:ascii="Arial" w:hAnsi="Arial" w:eastAsia="Arial" w:cs="Arial"/>
          <w:color w:val="32373F"/>
        </w:rPr>
        <w:t>mV</w:t>
      </w:r>
      <w:r>
        <w:rPr>
          <w:rFonts w:ascii="Arial" w:hAnsi="Arial" w:eastAsia="Arial" w:cs="Arial"/>
          <w:color w:val="32373F"/>
          <w:spacing w:val="4"/>
        </w:rPr>
        <w:t xml:space="preserve"> </w:t>
      </w:r>
      <w:r>
        <w:rPr>
          <w:color w:val="32373F"/>
          <w:spacing w:val="4"/>
        </w:rPr>
        <w:t>后，</w:t>
      </w:r>
      <w:r>
        <w:rPr>
          <w:rFonts w:ascii="Arial" w:hAnsi="Arial" w:eastAsia="Arial" w:cs="Arial"/>
          <w:color w:val="32373F"/>
        </w:rPr>
        <w:t>ADC</w:t>
      </w:r>
      <w:r>
        <w:rPr>
          <w:rFonts w:ascii="Arial" w:hAnsi="Arial" w:eastAsia="Arial" w:cs="Arial"/>
          <w:color w:val="32373F"/>
          <w:spacing w:val="4"/>
        </w:rPr>
        <w:t xml:space="preserve"> </w:t>
      </w:r>
      <w:r>
        <w:rPr>
          <w:color w:val="32373F"/>
          <w:spacing w:val="4"/>
        </w:rPr>
        <w:t>计数逐</w:t>
      </w:r>
      <w:r>
        <w:rPr>
          <w:color w:val="32373F"/>
          <w:spacing w:val="3"/>
        </w:rPr>
        <w:t xml:space="preserve">渐趋于饱和，最终稳定在约 </w:t>
      </w:r>
      <w:r>
        <w:rPr>
          <w:rFonts w:ascii="Arial" w:hAnsi="Arial" w:eastAsia="Arial" w:cs="Arial"/>
          <w:color w:val="32373F"/>
          <w:spacing w:val="3"/>
        </w:rPr>
        <w:t xml:space="preserve">60000–65000 </w:t>
      </w:r>
      <w:r>
        <w:rPr>
          <w:rFonts w:ascii="Arial" w:hAnsi="Arial" w:eastAsia="Arial" w:cs="Arial"/>
          <w:color w:val="32373F"/>
        </w:rPr>
        <w:t>ADC</w:t>
      </w:r>
      <w:r>
        <w:rPr>
          <w:rFonts w:ascii="Arial" w:hAnsi="Arial" w:eastAsia="Arial" w:cs="Arial"/>
          <w:color w:val="32373F"/>
          <w:spacing w:val="22"/>
          <w:w w:val="101"/>
        </w:rPr>
        <w:t xml:space="preserve"> </w:t>
      </w:r>
      <w:r>
        <w:rPr>
          <w:color w:val="32373F"/>
          <w:spacing w:val="3"/>
        </w:rPr>
        <w:t>附近，反映了高增益链路模数转换器的量程上限。</w:t>
      </w:r>
    </w:p>
    <w:p w14:paraId="7D2AD3C5">
      <w:pPr>
        <w:spacing w:line="233" w:lineRule="auto"/>
        <w:sectPr>
          <w:pgSz w:w="11919" w:h="16858"/>
          <w:pgMar w:top="400" w:right="783" w:bottom="0" w:left="785" w:header="0" w:footer="0" w:gutter="0"/>
          <w:cols w:space="720" w:num="1"/>
        </w:sectPr>
      </w:pPr>
    </w:p>
    <w:p w14:paraId="6647B75A">
      <w:pPr>
        <w:pStyle w:val="2"/>
        <w:spacing w:before="181" w:line="235" w:lineRule="auto"/>
        <w:ind w:left="7" w:right="86" w:hanging="4"/>
      </w:pPr>
      <w:r>
        <w:rPr>
          <w:color w:val="32373F"/>
          <w:spacing w:val="4"/>
        </w:rPr>
        <w:t>线性区间内各通道的拟合斜率分布在约</w:t>
      </w:r>
      <w:r>
        <w:rPr>
          <w:color w:val="32373F"/>
          <w:spacing w:val="31"/>
        </w:rPr>
        <w:t xml:space="preserve"> </w:t>
      </w:r>
      <w:r>
        <w:rPr>
          <w:rFonts w:ascii="Arial" w:hAnsi="Arial" w:eastAsia="Arial" w:cs="Arial"/>
          <w:color w:val="32373F"/>
          <w:spacing w:val="4"/>
        </w:rPr>
        <w:t xml:space="preserve">167–179 </w:t>
      </w:r>
      <w:r>
        <w:rPr>
          <w:rFonts w:ascii="Arial" w:hAnsi="Arial" w:eastAsia="Arial" w:cs="Arial"/>
          <w:color w:val="32373F"/>
        </w:rPr>
        <w:t>ADC</w:t>
      </w:r>
      <w:r>
        <w:rPr>
          <w:rFonts w:ascii="Arial" w:hAnsi="Arial" w:eastAsia="Arial" w:cs="Arial"/>
          <w:color w:val="32373F"/>
          <w:spacing w:val="4"/>
        </w:rPr>
        <w:t>/</w:t>
      </w:r>
      <w:r>
        <w:rPr>
          <w:rFonts w:ascii="Arial" w:hAnsi="Arial" w:eastAsia="Arial" w:cs="Arial"/>
          <w:color w:val="32373F"/>
        </w:rPr>
        <w:t>mV</w:t>
      </w:r>
      <w:r>
        <w:rPr>
          <w:rFonts w:ascii="Arial" w:hAnsi="Arial" w:eastAsia="Arial" w:cs="Arial"/>
          <w:color w:val="32373F"/>
          <w:spacing w:val="4"/>
        </w:rPr>
        <w:t xml:space="preserve"> </w:t>
      </w:r>
      <w:r>
        <w:rPr>
          <w:color w:val="32373F"/>
          <w:spacing w:val="4"/>
        </w:rPr>
        <w:t>之间，通道间一致性良好，斜率分散程度约为</w:t>
      </w:r>
      <w:r>
        <w:rPr>
          <w:rFonts w:ascii="Arial" w:hAnsi="Arial" w:eastAsia="Arial" w:cs="Arial"/>
          <w:color w:val="32373F"/>
          <w:spacing w:val="2"/>
        </w:rPr>
        <w:t>±3%</w:t>
      </w:r>
      <w:r>
        <w:rPr>
          <w:color w:val="32373F"/>
          <w:spacing w:val="2"/>
        </w:rPr>
        <w:t xml:space="preserve">，属于正常的通道间增益差异。 </w:t>
      </w:r>
      <w:r>
        <w:rPr>
          <w:rFonts w:ascii="Arial" w:hAnsi="Arial" w:eastAsia="Arial" w:cs="Arial"/>
          <w:color w:val="32373F"/>
          <w:spacing w:val="2"/>
        </w:rPr>
        <w:t xml:space="preserve">25 </w:t>
      </w:r>
      <w:r>
        <w:rPr>
          <w:color w:val="32373F"/>
          <w:spacing w:val="2"/>
        </w:rPr>
        <w:t>个通道均</w:t>
      </w:r>
      <w:r>
        <w:rPr>
          <w:color w:val="32373F"/>
          <w:spacing w:val="1"/>
        </w:rPr>
        <w:t>未出现线性度异常或增益跳变现象。</w:t>
      </w:r>
    </w:p>
    <w:p w14:paraId="1E41D33A">
      <w:pPr>
        <w:pStyle w:val="2"/>
        <w:spacing w:before="306" w:line="187" w:lineRule="auto"/>
        <w:ind w:left="4"/>
        <w:outlineLvl w:val="3"/>
      </w:pPr>
      <w:r>
        <w:rPr>
          <w:rFonts w:ascii="Arial" w:hAnsi="Arial" w:eastAsia="Arial" w:cs="Arial"/>
          <w:b/>
          <w:bCs/>
          <w:color w:val="32373F"/>
          <w:spacing w:val="3"/>
        </w:rPr>
        <w:t xml:space="preserve">4.2.2 </w:t>
      </w:r>
      <w:r>
        <w:rPr>
          <w:b/>
          <w:bCs/>
          <w:color w:val="32373F"/>
          <w:spacing w:val="3"/>
        </w:rPr>
        <w:t xml:space="preserve">主份低增益 </w:t>
      </w:r>
      <w:r>
        <w:rPr>
          <w:rFonts w:ascii="Arial" w:hAnsi="Arial" w:eastAsia="Arial" w:cs="Arial"/>
          <w:b/>
          <w:bCs/>
          <w:color w:val="32373F"/>
        </w:rPr>
        <w:t>ADC</w:t>
      </w:r>
      <w:r>
        <w:rPr>
          <w:rFonts w:ascii="Arial" w:hAnsi="Arial" w:eastAsia="Arial" w:cs="Arial"/>
          <w:b/>
          <w:bCs/>
          <w:color w:val="32373F"/>
          <w:spacing w:val="3"/>
        </w:rPr>
        <w:t xml:space="preserve"> </w:t>
      </w:r>
      <w:r>
        <w:rPr>
          <w:rFonts w:ascii="Arial" w:hAnsi="Arial" w:eastAsia="Arial" w:cs="Arial"/>
          <w:b/>
          <w:bCs/>
          <w:color w:val="32373F"/>
        </w:rPr>
        <w:t>vs</w:t>
      </w:r>
      <w:r>
        <w:rPr>
          <w:rFonts w:ascii="Arial" w:hAnsi="Arial" w:eastAsia="Arial" w:cs="Arial"/>
          <w:b/>
          <w:bCs/>
          <w:color w:val="32373F"/>
          <w:spacing w:val="3"/>
        </w:rPr>
        <w:t xml:space="preserve">. </w:t>
      </w:r>
      <w:r>
        <w:rPr>
          <w:b/>
          <w:bCs/>
          <w:color w:val="32373F"/>
          <w:spacing w:val="3"/>
        </w:rPr>
        <w:t>偏压</w:t>
      </w:r>
    </w:p>
    <w:p w14:paraId="75CA2790">
      <w:pPr>
        <w:spacing w:before="153" w:line="10170" w:lineRule="exact"/>
      </w:pPr>
      <w:r>
        <w:rPr>
          <w:position w:val="-203"/>
        </w:rPr>
        <w:drawing>
          <wp:inline distT="0" distB="0" distL="0" distR="0">
            <wp:extent cx="6572250" cy="6457315"/>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42"/>
                    <a:stretch>
                      <a:fillRect/>
                    </a:stretch>
                  </pic:blipFill>
                  <pic:spPr>
                    <a:xfrm>
                      <a:off x="0" y="0"/>
                      <a:ext cx="6572250" cy="6457949"/>
                    </a:xfrm>
                    <a:prstGeom prst="rect">
                      <a:avLst/>
                    </a:prstGeom>
                  </pic:spPr>
                </pic:pic>
              </a:graphicData>
            </a:graphic>
          </wp:inline>
        </w:drawing>
      </w:r>
    </w:p>
    <w:p w14:paraId="2C576424">
      <w:pPr>
        <w:pStyle w:val="2"/>
        <w:spacing w:before="335"/>
        <w:ind w:left="3"/>
      </w:pPr>
      <w:r>
        <w:rPr>
          <w:color w:val="32373F"/>
          <w:spacing w:val="4"/>
        </w:rPr>
        <w:t xml:space="preserve">该图展示了高温保持阶段主份低增益读出链路 </w:t>
      </w:r>
      <w:r>
        <w:rPr>
          <w:rFonts w:ascii="Arial" w:hAnsi="Arial" w:eastAsia="Arial" w:cs="Arial"/>
          <w:color w:val="32373F"/>
          <w:spacing w:val="4"/>
        </w:rPr>
        <w:t xml:space="preserve">25 </w:t>
      </w:r>
      <w:r>
        <w:rPr>
          <w:color w:val="32373F"/>
          <w:spacing w:val="3"/>
        </w:rPr>
        <w:t xml:space="preserve">个晶体通道的 </w:t>
      </w:r>
      <w:r>
        <w:rPr>
          <w:rFonts w:ascii="Arial" w:hAnsi="Arial" w:eastAsia="Arial" w:cs="Arial"/>
          <w:color w:val="32373F"/>
        </w:rPr>
        <w:t>ADC</w:t>
      </w:r>
      <w:r>
        <w:rPr>
          <w:rFonts w:ascii="Arial" w:hAnsi="Arial" w:eastAsia="Arial" w:cs="Arial"/>
          <w:color w:val="32373F"/>
          <w:spacing w:val="3"/>
        </w:rPr>
        <w:t xml:space="preserve"> </w:t>
      </w:r>
      <w:r>
        <w:rPr>
          <w:color w:val="32373F"/>
          <w:spacing w:val="3"/>
        </w:rPr>
        <w:t>均值随注入偏压的变化关系。</w:t>
      </w:r>
    </w:p>
    <w:p w14:paraId="488F51F1">
      <w:pPr>
        <w:pStyle w:val="2"/>
        <w:spacing w:before="282" w:line="245" w:lineRule="auto"/>
        <w:ind w:left="2" w:firstLine="1"/>
      </w:pPr>
      <w:r>
        <w:rPr>
          <w:color w:val="32373F"/>
          <w:spacing w:val="5"/>
        </w:rPr>
        <w:t>与主份高增益链路相比，低增益链路的响应曲线在整个偏压扫描范围</w:t>
      </w:r>
      <w:r>
        <w:rPr>
          <w:color w:val="32373F"/>
          <w:spacing w:val="4"/>
        </w:rPr>
        <w:t>（</w:t>
      </w:r>
      <w:r>
        <w:rPr>
          <w:rFonts w:ascii="Arial" w:hAnsi="Arial" w:eastAsia="Arial" w:cs="Arial"/>
          <w:color w:val="32373F"/>
          <w:spacing w:val="4"/>
        </w:rPr>
        <w:t xml:space="preserve">0–4500 </w:t>
      </w:r>
      <w:r>
        <w:rPr>
          <w:rFonts w:ascii="Arial" w:hAnsi="Arial" w:eastAsia="Arial" w:cs="Arial"/>
          <w:color w:val="32373F"/>
        </w:rPr>
        <w:t>mV</w:t>
      </w:r>
      <w:r>
        <w:rPr>
          <w:color w:val="32373F"/>
          <w:spacing w:val="4"/>
        </w:rPr>
        <w:t>）内均保持良好的线</w:t>
      </w:r>
      <w:r>
        <w:rPr>
          <w:color w:val="32373F"/>
          <w:spacing w:val="5"/>
        </w:rPr>
        <w:t>性特性，未出现明显的饱和现象，红色线性拟合曲线与数据点在全量程范围内吻合优良。各通道</w:t>
      </w:r>
      <w:r>
        <w:rPr>
          <w:color w:val="32373F"/>
          <w:spacing w:val="4"/>
        </w:rPr>
        <w:t>拟合斜率集中在约</w:t>
      </w:r>
      <w:r>
        <w:rPr>
          <w:color w:val="32373F"/>
          <w:spacing w:val="22"/>
        </w:rPr>
        <w:t xml:space="preserve"> </w:t>
      </w:r>
      <w:r>
        <w:rPr>
          <w:rFonts w:ascii="Arial" w:hAnsi="Arial" w:eastAsia="Arial" w:cs="Arial"/>
          <w:color w:val="32373F"/>
          <w:spacing w:val="4"/>
        </w:rPr>
        <w:t xml:space="preserve">16.3–17.1 </w:t>
      </w:r>
      <w:r>
        <w:rPr>
          <w:rFonts w:ascii="Arial" w:hAnsi="Arial" w:eastAsia="Arial" w:cs="Arial"/>
          <w:color w:val="32373F"/>
        </w:rPr>
        <w:t>ADC</w:t>
      </w:r>
      <w:r>
        <w:rPr>
          <w:rFonts w:ascii="Arial" w:hAnsi="Arial" w:eastAsia="Arial" w:cs="Arial"/>
          <w:color w:val="32373F"/>
          <w:spacing w:val="4"/>
        </w:rPr>
        <w:t>/</w:t>
      </w:r>
      <w:r>
        <w:rPr>
          <w:rFonts w:ascii="Arial" w:hAnsi="Arial" w:eastAsia="Arial" w:cs="Arial"/>
          <w:color w:val="32373F"/>
        </w:rPr>
        <w:t>mV</w:t>
      </w:r>
      <w:r>
        <w:rPr>
          <w:rFonts w:ascii="Arial" w:hAnsi="Arial" w:eastAsia="Arial" w:cs="Arial"/>
          <w:color w:val="32373F"/>
          <w:spacing w:val="4"/>
        </w:rPr>
        <w:t xml:space="preserve"> </w:t>
      </w:r>
      <w:r>
        <w:rPr>
          <w:color w:val="32373F"/>
          <w:spacing w:val="4"/>
        </w:rPr>
        <w:t>之间，通</w:t>
      </w:r>
      <w:r>
        <w:rPr>
          <w:color w:val="32373F"/>
          <w:spacing w:val="3"/>
        </w:rPr>
        <w:t xml:space="preserve">道间一致性极好，斜率分散程度约为 </w:t>
      </w:r>
      <w:r>
        <w:rPr>
          <w:rFonts w:ascii="Arial" w:hAnsi="Arial" w:eastAsia="Arial" w:cs="Arial"/>
          <w:color w:val="32373F"/>
          <w:spacing w:val="3"/>
        </w:rPr>
        <w:t>±2%</w:t>
      </w:r>
      <w:r>
        <w:rPr>
          <w:color w:val="32373F"/>
          <w:spacing w:val="3"/>
        </w:rPr>
        <w:t>。</w:t>
      </w:r>
    </w:p>
    <w:p w14:paraId="062BB5AE">
      <w:pPr>
        <w:pStyle w:val="2"/>
        <w:spacing w:before="226" w:line="231" w:lineRule="auto"/>
        <w:ind w:left="2" w:right="66" w:hanging="2"/>
        <w:jc w:val="both"/>
      </w:pPr>
      <w:r>
        <w:rPr>
          <w:color w:val="32373F"/>
          <w:spacing w:val="3"/>
        </w:rPr>
        <w:t>将低增益斜率（约</w:t>
      </w:r>
      <w:r>
        <w:rPr>
          <w:color w:val="32373F"/>
          <w:spacing w:val="22"/>
        </w:rPr>
        <w:t xml:space="preserve"> </w:t>
      </w:r>
      <w:r>
        <w:rPr>
          <w:rFonts w:ascii="Arial" w:hAnsi="Arial" w:eastAsia="Arial" w:cs="Arial"/>
          <w:color w:val="32373F"/>
          <w:spacing w:val="3"/>
        </w:rPr>
        <w:t xml:space="preserve">16.5 </w:t>
      </w:r>
      <w:r>
        <w:rPr>
          <w:rFonts w:ascii="Arial" w:hAnsi="Arial" w:eastAsia="Arial" w:cs="Arial"/>
          <w:color w:val="32373F"/>
        </w:rPr>
        <w:t>ADC</w:t>
      </w:r>
      <w:r>
        <w:rPr>
          <w:rFonts w:ascii="Arial" w:hAnsi="Arial" w:eastAsia="Arial" w:cs="Arial"/>
          <w:color w:val="32373F"/>
          <w:spacing w:val="3"/>
        </w:rPr>
        <w:t>/</w:t>
      </w:r>
      <w:r>
        <w:rPr>
          <w:rFonts w:ascii="Arial" w:hAnsi="Arial" w:eastAsia="Arial" w:cs="Arial"/>
          <w:color w:val="32373F"/>
        </w:rPr>
        <w:t>mV</w:t>
      </w:r>
      <w:r>
        <w:rPr>
          <w:color w:val="32373F"/>
          <w:spacing w:val="3"/>
        </w:rPr>
        <w:t>）与高增益斜率（</w:t>
      </w:r>
      <w:r>
        <w:rPr>
          <w:color w:val="32373F"/>
          <w:spacing w:val="2"/>
        </w:rPr>
        <w:t>约</w:t>
      </w:r>
      <w:r>
        <w:rPr>
          <w:color w:val="32373F"/>
          <w:spacing w:val="34"/>
        </w:rPr>
        <w:t xml:space="preserve"> </w:t>
      </w:r>
      <w:r>
        <w:rPr>
          <w:rFonts w:ascii="Arial" w:hAnsi="Arial" w:eastAsia="Arial" w:cs="Arial"/>
          <w:color w:val="32373F"/>
          <w:spacing w:val="2"/>
        </w:rPr>
        <w:t xml:space="preserve">172 </w:t>
      </w:r>
      <w:r>
        <w:rPr>
          <w:rFonts w:ascii="Arial" w:hAnsi="Arial" w:eastAsia="Arial" w:cs="Arial"/>
          <w:color w:val="32373F"/>
        </w:rPr>
        <w:t>ADC</w:t>
      </w:r>
      <w:r>
        <w:rPr>
          <w:rFonts w:ascii="Arial" w:hAnsi="Arial" w:eastAsia="Arial" w:cs="Arial"/>
          <w:color w:val="32373F"/>
          <w:spacing w:val="2"/>
        </w:rPr>
        <w:t>/</w:t>
      </w:r>
      <w:r>
        <w:rPr>
          <w:rFonts w:ascii="Arial" w:hAnsi="Arial" w:eastAsia="Arial" w:cs="Arial"/>
          <w:color w:val="32373F"/>
        </w:rPr>
        <w:t>mV</w:t>
      </w:r>
      <w:r>
        <w:rPr>
          <w:color w:val="32373F"/>
          <w:spacing w:val="2"/>
        </w:rPr>
        <w:t>）相比，两者之比约为</w:t>
      </w:r>
      <w:r>
        <w:rPr>
          <w:color w:val="32373F"/>
          <w:spacing w:val="39"/>
        </w:rPr>
        <w:t xml:space="preserve"> </w:t>
      </w:r>
      <w:r>
        <w:rPr>
          <w:rFonts w:ascii="Arial" w:hAnsi="Arial" w:eastAsia="Arial" w:cs="Arial"/>
          <w:color w:val="32373F"/>
          <w:spacing w:val="2"/>
        </w:rPr>
        <w:t>10.4</w:t>
      </w:r>
      <w:r>
        <w:rPr>
          <w:color w:val="32373F"/>
          <w:spacing w:val="2"/>
        </w:rPr>
        <w:t>，与两档</w:t>
      </w:r>
      <w:r>
        <w:rPr>
          <w:color w:val="32373F"/>
          <w:spacing w:val="1"/>
        </w:rPr>
        <w:t>增益设计目标（约</w:t>
      </w:r>
      <w:r>
        <w:rPr>
          <w:color w:val="32373F"/>
          <w:spacing w:val="37"/>
        </w:rPr>
        <w:t xml:space="preserve"> </w:t>
      </w:r>
      <w:r>
        <w:rPr>
          <w:rFonts w:ascii="Arial" w:hAnsi="Arial" w:eastAsia="Arial" w:cs="Arial"/>
          <w:color w:val="32373F"/>
          <w:spacing w:val="1"/>
        </w:rPr>
        <w:t xml:space="preserve">10 </w:t>
      </w:r>
      <w:r>
        <w:rPr>
          <w:color w:val="32373F"/>
          <w:spacing w:val="1"/>
        </w:rPr>
        <w:t xml:space="preserve">倍）高度吻合，验证了高低增益链路之间增益比的准确性。  </w:t>
      </w:r>
      <w:r>
        <w:rPr>
          <w:rFonts w:ascii="Arial" w:hAnsi="Arial" w:eastAsia="Arial" w:cs="Arial"/>
          <w:color w:val="32373F"/>
          <w:spacing w:val="1"/>
        </w:rPr>
        <w:t xml:space="preserve">25 </w:t>
      </w:r>
      <w:r>
        <w:rPr>
          <w:color w:val="32373F"/>
          <w:spacing w:val="1"/>
        </w:rPr>
        <w:t>个通道均表现出良好的线性响应，未发现异常通道。</w:t>
      </w:r>
    </w:p>
    <w:p w14:paraId="7623B0E2">
      <w:pPr>
        <w:spacing w:line="231" w:lineRule="auto"/>
        <w:sectPr>
          <w:pgSz w:w="11919" w:h="16858"/>
          <w:pgMar w:top="400" w:right="783" w:bottom="0" w:left="785" w:header="0" w:footer="0" w:gutter="0"/>
          <w:cols w:space="720" w:num="1"/>
        </w:sectPr>
      </w:pPr>
    </w:p>
    <w:p w14:paraId="3C449362">
      <w:pPr>
        <w:pStyle w:val="2"/>
        <w:spacing w:before="207" w:line="187" w:lineRule="auto"/>
        <w:ind w:left="4"/>
        <w:outlineLvl w:val="3"/>
      </w:pPr>
      <w:r>
        <w:rPr>
          <w:rFonts w:ascii="Arial" w:hAnsi="Arial" w:eastAsia="Arial" w:cs="Arial"/>
          <w:b/>
          <w:bCs/>
          <w:color w:val="32373F"/>
          <w:spacing w:val="3"/>
        </w:rPr>
        <w:t xml:space="preserve">4.2.3 </w:t>
      </w:r>
      <w:r>
        <w:rPr>
          <w:b/>
          <w:bCs/>
          <w:color w:val="32373F"/>
          <w:spacing w:val="3"/>
        </w:rPr>
        <w:t xml:space="preserve">备份高增益 </w:t>
      </w:r>
      <w:r>
        <w:rPr>
          <w:rFonts w:ascii="Arial" w:hAnsi="Arial" w:eastAsia="Arial" w:cs="Arial"/>
          <w:b/>
          <w:bCs/>
          <w:color w:val="32373F"/>
        </w:rPr>
        <w:t>ADC</w:t>
      </w:r>
      <w:r>
        <w:rPr>
          <w:rFonts w:ascii="Arial" w:hAnsi="Arial" w:eastAsia="Arial" w:cs="Arial"/>
          <w:b/>
          <w:bCs/>
          <w:color w:val="32373F"/>
          <w:spacing w:val="3"/>
        </w:rPr>
        <w:t xml:space="preserve"> </w:t>
      </w:r>
      <w:r>
        <w:rPr>
          <w:rFonts w:ascii="Arial" w:hAnsi="Arial" w:eastAsia="Arial" w:cs="Arial"/>
          <w:b/>
          <w:bCs/>
          <w:color w:val="32373F"/>
        </w:rPr>
        <w:t>vs</w:t>
      </w:r>
      <w:r>
        <w:rPr>
          <w:rFonts w:ascii="Arial" w:hAnsi="Arial" w:eastAsia="Arial" w:cs="Arial"/>
          <w:b/>
          <w:bCs/>
          <w:color w:val="32373F"/>
          <w:spacing w:val="3"/>
        </w:rPr>
        <w:t xml:space="preserve">. </w:t>
      </w:r>
      <w:r>
        <w:rPr>
          <w:b/>
          <w:bCs/>
          <w:color w:val="32373F"/>
          <w:spacing w:val="3"/>
        </w:rPr>
        <w:t>偏压</w:t>
      </w:r>
    </w:p>
    <w:p w14:paraId="3941D0EC">
      <w:pPr>
        <w:spacing w:before="138" w:line="10185" w:lineRule="exact"/>
      </w:pPr>
      <w:r>
        <w:rPr>
          <w:position w:val="-203"/>
        </w:rPr>
        <w:drawing>
          <wp:inline distT="0" distB="0" distL="0" distR="0">
            <wp:extent cx="6572250" cy="6467475"/>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43"/>
                    <a:stretch>
                      <a:fillRect/>
                    </a:stretch>
                  </pic:blipFill>
                  <pic:spPr>
                    <a:xfrm>
                      <a:off x="0" y="0"/>
                      <a:ext cx="6572250" cy="6467475"/>
                    </a:xfrm>
                    <a:prstGeom prst="rect">
                      <a:avLst/>
                    </a:prstGeom>
                  </pic:spPr>
                </pic:pic>
              </a:graphicData>
            </a:graphic>
          </wp:inline>
        </w:drawing>
      </w:r>
    </w:p>
    <w:p w14:paraId="67E26C0A">
      <w:pPr>
        <w:pStyle w:val="2"/>
        <w:spacing w:before="320"/>
        <w:ind w:left="3"/>
      </w:pPr>
      <w:r>
        <w:rPr>
          <w:color w:val="32373F"/>
          <w:spacing w:val="4"/>
        </w:rPr>
        <w:t xml:space="preserve">该图展示了高温保持阶段备份高增益读出链路 </w:t>
      </w:r>
      <w:r>
        <w:rPr>
          <w:rFonts w:ascii="Arial" w:hAnsi="Arial" w:eastAsia="Arial" w:cs="Arial"/>
          <w:color w:val="32373F"/>
          <w:spacing w:val="4"/>
        </w:rPr>
        <w:t xml:space="preserve">25 </w:t>
      </w:r>
      <w:r>
        <w:rPr>
          <w:color w:val="32373F"/>
          <w:spacing w:val="3"/>
        </w:rPr>
        <w:t xml:space="preserve">个晶体通道的 </w:t>
      </w:r>
      <w:r>
        <w:rPr>
          <w:rFonts w:ascii="Arial" w:hAnsi="Arial" w:eastAsia="Arial" w:cs="Arial"/>
          <w:color w:val="32373F"/>
        </w:rPr>
        <w:t>ADC</w:t>
      </w:r>
      <w:r>
        <w:rPr>
          <w:rFonts w:ascii="Arial" w:hAnsi="Arial" w:eastAsia="Arial" w:cs="Arial"/>
          <w:color w:val="32373F"/>
          <w:spacing w:val="3"/>
        </w:rPr>
        <w:t xml:space="preserve"> </w:t>
      </w:r>
      <w:r>
        <w:rPr>
          <w:color w:val="32373F"/>
          <w:spacing w:val="3"/>
        </w:rPr>
        <w:t>均值随注入偏压的变化关系。</w:t>
      </w:r>
    </w:p>
    <w:p w14:paraId="40D19203">
      <w:pPr>
        <w:spacing w:line="243" w:lineRule="auto"/>
        <w:rPr>
          <w:rFonts w:ascii="Arial"/>
          <w:sz w:val="21"/>
        </w:rPr>
      </w:pPr>
    </w:p>
    <w:p w14:paraId="4E6A513A">
      <w:pPr>
        <w:pStyle w:val="2"/>
        <w:spacing w:before="95" w:line="223" w:lineRule="auto"/>
        <w:ind w:left="3" w:hanging="2"/>
      </w:pPr>
      <w:r>
        <w:rPr>
          <w:color w:val="32373F"/>
          <w:spacing w:val="5"/>
        </w:rPr>
        <w:t>各通道响应特性与主份高增益链路高度一致，同样呈现出低偏压段线性增长、高偏压段趋于饱和的</w:t>
      </w:r>
      <w:r>
        <w:rPr>
          <w:color w:val="32373F"/>
          <w:spacing w:val="4"/>
        </w:rPr>
        <w:t xml:space="preserve">典型特征，饱和平台约在 </w:t>
      </w:r>
      <w:r>
        <w:rPr>
          <w:rFonts w:ascii="Arial" w:hAnsi="Arial" w:eastAsia="Arial" w:cs="Arial"/>
          <w:color w:val="32373F"/>
          <w:spacing w:val="4"/>
        </w:rPr>
        <w:t xml:space="preserve">60000–65000 </w:t>
      </w:r>
      <w:r>
        <w:rPr>
          <w:rFonts w:ascii="Arial" w:hAnsi="Arial" w:eastAsia="Arial" w:cs="Arial"/>
          <w:color w:val="32373F"/>
        </w:rPr>
        <w:t>ADC</w:t>
      </w:r>
      <w:r>
        <w:rPr>
          <w:rFonts w:ascii="Arial" w:hAnsi="Arial" w:eastAsia="Arial" w:cs="Arial"/>
          <w:color w:val="32373F"/>
          <w:spacing w:val="4"/>
        </w:rPr>
        <w:t xml:space="preserve"> </w:t>
      </w:r>
      <w:r>
        <w:rPr>
          <w:color w:val="32373F"/>
          <w:spacing w:val="4"/>
        </w:rPr>
        <w:t>附近。线性区间内各通道拟合斜率分</w:t>
      </w:r>
      <w:r>
        <w:rPr>
          <w:color w:val="32373F"/>
          <w:spacing w:val="3"/>
        </w:rPr>
        <w:t>布在约</w:t>
      </w:r>
      <w:r>
        <w:rPr>
          <w:color w:val="32373F"/>
          <w:spacing w:val="22"/>
        </w:rPr>
        <w:t xml:space="preserve"> </w:t>
      </w:r>
      <w:r>
        <w:rPr>
          <w:rFonts w:ascii="Arial" w:hAnsi="Arial" w:eastAsia="Arial" w:cs="Arial"/>
          <w:color w:val="32373F"/>
          <w:spacing w:val="3"/>
        </w:rPr>
        <w:t xml:space="preserve">166–175 </w:t>
      </w:r>
      <w:r>
        <w:rPr>
          <w:rFonts w:ascii="Arial" w:hAnsi="Arial" w:eastAsia="Arial" w:cs="Arial"/>
          <w:color w:val="32373F"/>
        </w:rPr>
        <w:t>ADC</w:t>
      </w:r>
      <w:r>
        <w:rPr>
          <w:rFonts w:ascii="Arial" w:hAnsi="Arial" w:eastAsia="Arial" w:cs="Arial"/>
          <w:color w:val="32373F"/>
          <w:spacing w:val="3"/>
        </w:rPr>
        <w:t>/</w:t>
      </w:r>
      <w:r>
        <w:rPr>
          <w:rFonts w:ascii="Arial" w:hAnsi="Arial" w:eastAsia="Arial" w:cs="Arial"/>
          <w:color w:val="32373F"/>
        </w:rPr>
        <w:t>mV</w:t>
      </w:r>
      <w:r>
        <w:rPr>
          <w:rFonts w:ascii="Arial" w:hAnsi="Arial" w:eastAsia="Arial" w:cs="Arial"/>
          <w:color w:val="32373F"/>
          <w:spacing w:val="3"/>
        </w:rPr>
        <w:t xml:space="preserve"> </w:t>
      </w:r>
      <w:r>
        <w:rPr>
          <w:color w:val="32373F"/>
          <w:spacing w:val="3"/>
        </w:rPr>
        <w:t>之</w:t>
      </w:r>
      <w:r>
        <w:rPr>
          <w:color w:val="32373F"/>
          <w:spacing w:val="5"/>
        </w:rPr>
        <w:t>间，与主份高增益链路的斜率范围（</w:t>
      </w:r>
      <w:r>
        <w:rPr>
          <w:rFonts w:ascii="Arial" w:hAnsi="Arial" w:eastAsia="Arial" w:cs="Arial"/>
          <w:color w:val="32373F"/>
          <w:spacing w:val="5"/>
        </w:rPr>
        <w:t xml:space="preserve">167–179 </w:t>
      </w:r>
      <w:r>
        <w:rPr>
          <w:rFonts w:ascii="Arial" w:hAnsi="Arial" w:eastAsia="Arial" w:cs="Arial"/>
          <w:color w:val="32373F"/>
        </w:rPr>
        <w:t>ADC</w:t>
      </w:r>
      <w:r>
        <w:rPr>
          <w:rFonts w:ascii="Arial" w:hAnsi="Arial" w:eastAsia="Arial" w:cs="Arial"/>
          <w:color w:val="32373F"/>
          <w:spacing w:val="5"/>
        </w:rPr>
        <w:t>/</w:t>
      </w:r>
      <w:r>
        <w:rPr>
          <w:rFonts w:ascii="Arial" w:hAnsi="Arial" w:eastAsia="Arial" w:cs="Arial"/>
          <w:color w:val="32373F"/>
        </w:rPr>
        <w:t>mV</w:t>
      </w:r>
      <w:r>
        <w:rPr>
          <w:color w:val="32373F"/>
          <w:spacing w:val="5"/>
        </w:rPr>
        <w:t>）基本吻合，主备份两端增</w:t>
      </w:r>
      <w:r>
        <w:rPr>
          <w:color w:val="32373F"/>
          <w:spacing w:val="4"/>
        </w:rPr>
        <w:t>益一致性良好。各通道线性拟合残差小，无增益异常或响应跳变现象，备份高增益链路的电子学线性特性满</w:t>
      </w:r>
      <w:r>
        <w:rPr>
          <w:color w:val="32373F"/>
          <w:spacing w:val="3"/>
        </w:rPr>
        <w:t>足预期要求。</w:t>
      </w:r>
    </w:p>
    <w:p w14:paraId="259CB7E7">
      <w:pPr>
        <w:pStyle w:val="2"/>
        <w:spacing w:before="323" w:line="186" w:lineRule="auto"/>
        <w:ind w:left="4"/>
        <w:outlineLvl w:val="3"/>
      </w:pPr>
      <w:r>
        <w:rPr>
          <w:rFonts w:ascii="Arial" w:hAnsi="Arial" w:eastAsia="Arial" w:cs="Arial"/>
          <w:b/>
          <w:bCs/>
          <w:color w:val="32373F"/>
          <w:spacing w:val="3"/>
        </w:rPr>
        <w:t xml:space="preserve">4.2.4 </w:t>
      </w:r>
      <w:r>
        <w:rPr>
          <w:b/>
          <w:bCs/>
          <w:color w:val="32373F"/>
          <w:spacing w:val="3"/>
        </w:rPr>
        <w:t xml:space="preserve">备份低增益 </w:t>
      </w:r>
      <w:r>
        <w:rPr>
          <w:rFonts w:ascii="Arial" w:hAnsi="Arial" w:eastAsia="Arial" w:cs="Arial"/>
          <w:b/>
          <w:bCs/>
          <w:color w:val="32373F"/>
        </w:rPr>
        <w:t>ADC</w:t>
      </w:r>
      <w:r>
        <w:rPr>
          <w:rFonts w:ascii="Arial" w:hAnsi="Arial" w:eastAsia="Arial" w:cs="Arial"/>
          <w:b/>
          <w:bCs/>
          <w:color w:val="32373F"/>
          <w:spacing w:val="3"/>
        </w:rPr>
        <w:t xml:space="preserve"> </w:t>
      </w:r>
      <w:r>
        <w:rPr>
          <w:rFonts w:ascii="Arial" w:hAnsi="Arial" w:eastAsia="Arial" w:cs="Arial"/>
          <w:b/>
          <w:bCs/>
          <w:color w:val="32373F"/>
        </w:rPr>
        <w:t>vs</w:t>
      </w:r>
      <w:r>
        <w:rPr>
          <w:rFonts w:ascii="Arial" w:hAnsi="Arial" w:eastAsia="Arial" w:cs="Arial"/>
          <w:b/>
          <w:bCs/>
          <w:color w:val="32373F"/>
          <w:spacing w:val="3"/>
        </w:rPr>
        <w:t xml:space="preserve">. </w:t>
      </w:r>
      <w:r>
        <w:rPr>
          <w:b/>
          <w:bCs/>
          <w:color w:val="32373F"/>
          <w:spacing w:val="3"/>
        </w:rPr>
        <w:t>偏压</w:t>
      </w:r>
    </w:p>
    <w:p w14:paraId="5C0FF73F">
      <w:pPr>
        <w:spacing w:line="186" w:lineRule="auto"/>
        <w:sectPr>
          <w:pgSz w:w="11919" w:h="16858"/>
          <w:pgMar w:top="400" w:right="783" w:bottom="0" w:left="785" w:header="0" w:footer="0" w:gutter="0"/>
          <w:cols w:space="720" w:num="1"/>
        </w:sectPr>
      </w:pPr>
    </w:p>
    <w:p w14:paraId="18EEEFBD">
      <w:pPr>
        <w:spacing w:before="160" w:line="10184" w:lineRule="exact"/>
      </w:pPr>
      <w:r>
        <w:rPr>
          <w:position w:val="-203"/>
        </w:rPr>
        <w:drawing>
          <wp:inline distT="0" distB="0" distL="0" distR="0">
            <wp:extent cx="6572250" cy="6466840"/>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44"/>
                    <a:stretch>
                      <a:fillRect/>
                    </a:stretch>
                  </pic:blipFill>
                  <pic:spPr>
                    <a:xfrm>
                      <a:off x="0" y="0"/>
                      <a:ext cx="6572250" cy="6467467"/>
                    </a:xfrm>
                    <a:prstGeom prst="rect">
                      <a:avLst/>
                    </a:prstGeom>
                  </pic:spPr>
                </pic:pic>
              </a:graphicData>
            </a:graphic>
          </wp:inline>
        </w:drawing>
      </w:r>
    </w:p>
    <w:p w14:paraId="4625A275">
      <w:pPr>
        <w:pStyle w:val="2"/>
        <w:spacing w:before="320"/>
        <w:ind w:left="3"/>
      </w:pPr>
      <w:r>
        <w:rPr>
          <w:color w:val="32373F"/>
          <w:spacing w:val="4"/>
        </w:rPr>
        <w:t xml:space="preserve">展示了高温保持阶段备份低增益读出链路 </w:t>
      </w:r>
      <w:r>
        <w:rPr>
          <w:rFonts w:ascii="Arial" w:hAnsi="Arial" w:eastAsia="Arial" w:cs="Arial"/>
          <w:color w:val="32373F"/>
          <w:spacing w:val="3"/>
        </w:rPr>
        <w:t xml:space="preserve">25 </w:t>
      </w:r>
      <w:r>
        <w:rPr>
          <w:color w:val="32373F"/>
          <w:spacing w:val="3"/>
        </w:rPr>
        <w:t xml:space="preserve">个晶体通道的 </w:t>
      </w:r>
      <w:r>
        <w:rPr>
          <w:rFonts w:ascii="Arial" w:hAnsi="Arial" w:eastAsia="Arial" w:cs="Arial"/>
          <w:color w:val="32373F"/>
        </w:rPr>
        <w:t>ADC</w:t>
      </w:r>
      <w:r>
        <w:rPr>
          <w:rFonts w:ascii="Arial" w:hAnsi="Arial" w:eastAsia="Arial" w:cs="Arial"/>
          <w:color w:val="32373F"/>
          <w:spacing w:val="3"/>
        </w:rPr>
        <w:t xml:space="preserve"> </w:t>
      </w:r>
      <w:r>
        <w:rPr>
          <w:color w:val="32373F"/>
          <w:spacing w:val="3"/>
        </w:rPr>
        <w:t>均值随注入偏压的变化关系。</w:t>
      </w:r>
    </w:p>
    <w:p w14:paraId="25F52A79">
      <w:pPr>
        <w:pStyle w:val="2"/>
        <w:spacing w:before="323" w:line="226" w:lineRule="auto"/>
        <w:ind w:left="2"/>
      </w:pPr>
      <w:r>
        <w:rPr>
          <w:color w:val="32373F"/>
          <w:spacing w:val="5"/>
        </w:rPr>
        <w:t>与主份低增益链路类似，各通道在全偏压扫描范围内均表现出优良的线性响应，红色拟合直线</w:t>
      </w:r>
      <w:r>
        <w:rPr>
          <w:color w:val="32373F"/>
          <w:spacing w:val="4"/>
        </w:rPr>
        <w:t>与数据点在全量程内吻合良好，无饱和迹象。各通道拟合斜率集中在约</w:t>
      </w:r>
      <w:r>
        <w:rPr>
          <w:color w:val="32373F"/>
          <w:spacing w:val="25"/>
          <w:w w:val="101"/>
        </w:rPr>
        <w:t xml:space="preserve"> </w:t>
      </w:r>
      <w:r>
        <w:rPr>
          <w:rFonts w:ascii="Arial" w:hAnsi="Arial" w:eastAsia="Arial" w:cs="Arial"/>
          <w:color w:val="32373F"/>
          <w:spacing w:val="4"/>
        </w:rPr>
        <w:t xml:space="preserve">16.2–16.8 </w:t>
      </w:r>
      <w:r>
        <w:rPr>
          <w:rFonts w:ascii="Arial" w:hAnsi="Arial" w:eastAsia="Arial" w:cs="Arial"/>
          <w:color w:val="32373F"/>
        </w:rPr>
        <w:t>ADC</w:t>
      </w:r>
      <w:r>
        <w:rPr>
          <w:rFonts w:ascii="Arial" w:hAnsi="Arial" w:eastAsia="Arial" w:cs="Arial"/>
          <w:color w:val="32373F"/>
          <w:spacing w:val="4"/>
        </w:rPr>
        <w:t>/</w:t>
      </w:r>
      <w:r>
        <w:rPr>
          <w:rFonts w:ascii="Arial" w:hAnsi="Arial" w:eastAsia="Arial" w:cs="Arial"/>
          <w:color w:val="32373F"/>
        </w:rPr>
        <w:t>mV</w:t>
      </w:r>
      <w:r>
        <w:rPr>
          <w:rFonts w:ascii="Arial" w:hAnsi="Arial" w:eastAsia="Arial" w:cs="Arial"/>
          <w:color w:val="32373F"/>
          <w:spacing w:val="4"/>
        </w:rPr>
        <w:t xml:space="preserve"> </w:t>
      </w:r>
      <w:r>
        <w:rPr>
          <w:color w:val="32373F"/>
          <w:spacing w:val="4"/>
        </w:rPr>
        <w:t>之间，与主份低增益链</w:t>
      </w:r>
      <w:r>
        <w:rPr>
          <w:color w:val="32373F"/>
          <w:spacing w:val="3"/>
        </w:rPr>
        <w:t>路（</w:t>
      </w:r>
      <w:r>
        <w:rPr>
          <w:rFonts w:ascii="Arial" w:hAnsi="Arial" w:eastAsia="Arial" w:cs="Arial"/>
          <w:color w:val="32373F"/>
          <w:spacing w:val="3"/>
        </w:rPr>
        <w:t xml:space="preserve">16.3–17.1 </w:t>
      </w:r>
      <w:r>
        <w:rPr>
          <w:rFonts w:ascii="Arial" w:hAnsi="Arial" w:eastAsia="Arial" w:cs="Arial"/>
          <w:color w:val="32373F"/>
        </w:rPr>
        <w:t>ADC</w:t>
      </w:r>
      <w:r>
        <w:rPr>
          <w:rFonts w:ascii="Arial" w:hAnsi="Arial" w:eastAsia="Arial" w:cs="Arial"/>
          <w:color w:val="32373F"/>
          <w:spacing w:val="3"/>
        </w:rPr>
        <w:t>/</w:t>
      </w:r>
      <w:r>
        <w:rPr>
          <w:rFonts w:ascii="Arial" w:hAnsi="Arial" w:eastAsia="Arial" w:cs="Arial"/>
          <w:color w:val="32373F"/>
        </w:rPr>
        <w:t>mV</w:t>
      </w:r>
      <w:r>
        <w:rPr>
          <w:color w:val="32373F"/>
          <w:spacing w:val="3"/>
        </w:rPr>
        <w:t>）高度一致，主备份两端低增益链路的增益系数差异极小。</w:t>
      </w:r>
    </w:p>
    <w:p w14:paraId="47070438">
      <w:pPr>
        <w:pStyle w:val="2"/>
        <w:spacing w:before="287" w:line="239" w:lineRule="auto"/>
        <w:ind w:left="2" w:right="161" w:hanging="2"/>
      </w:pPr>
      <w:r>
        <w:rPr>
          <w:color w:val="32373F"/>
          <w:spacing w:val="2"/>
        </w:rPr>
        <w:t>备份低增益与备份高增益斜率之比约为</w:t>
      </w:r>
      <w:r>
        <w:rPr>
          <w:color w:val="32373F"/>
          <w:spacing w:val="28"/>
        </w:rPr>
        <w:t xml:space="preserve"> </w:t>
      </w:r>
      <w:r>
        <w:rPr>
          <w:rFonts w:ascii="Arial" w:hAnsi="Arial" w:eastAsia="Arial" w:cs="Arial"/>
          <w:color w:val="32373F"/>
          <w:spacing w:val="2"/>
        </w:rPr>
        <w:t>10.3</w:t>
      </w:r>
      <w:r>
        <w:rPr>
          <w:color w:val="32373F"/>
          <w:spacing w:val="2"/>
        </w:rPr>
        <w:t>，同样符合约</w:t>
      </w:r>
      <w:r>
        <w:rPr>
          <w:color w:val="32373F"/>
          <w:spacing w:val="34"/>
        </w:rPr>
        <w:t xml:space="preserve"> </w:t>
      </w:r>
      <w:r>
        <w:rPr>
          <w:rFonts w:ascii="Arial" w:hAnsi="Arial" w:eastAsia="Arial" w:cs="Arial"/>
          <w:color w:val="32373F"/>
          <w:spacing w:val="2"/>
        </w:rPr>
        <w:t xml:space="preserve">10 </w:t>
      </w:r>
      <w:r>
        <w:rPr>
          <w:color w:val="32373F"/>
          <w:spacing w:val="2"/>
        </w:rPr>
        <w:t>倍增益比的设计指标。</w:t>
      </w:r>
      <w:r>
        <w:rPr>
          <w:color w:val="32373F"/>
          <w:spacing w:val="-11"/>
        </w:rPr>
        <w:t xml:space="preserve"> </w:t>
      </w:r>
      <w:r>
        <w:rPr>
          <w:rFonts w:ascii="Arial" w:hAnsi="Arial" w:eastAsia="Arial" w:cs="Arial"/>
          <w:color w:val="32373F"/>
          <w:spacing w:val="2"/>
        </w:rPr>
        <w:t xml:space="preserve">25 </w:t>
      </w:r>
      <w:r>
        <w:rPr>
          <w:color w:val="32373F"/>
          <w:spacing w:val="2"/>
        </w:rPr>
        <w:t>个通道全部工作正常，未发现线性度异常或失效通道。</w:t>
      </w:r>
    </w:p>
    <w:p w14:paraId="2406CD55">
      <w:pPr>
        <w:pStyle w:val="2"/>
        <w:spacing w:before="297" w:line="186" w:lineRule="auto"/>
        <w:ind w:left="4"/>
        <w:outlineLvl w:val="3"/>
      </w:pPr>
      <w:r>
        <w:rPr>
          <w:rFonts w:ascii="Arial" w:hAnsi="Arial" w:eastAsia="Arial" w:cs="Arial"/>
          <w:b/>
          <w:bCs/>
          <w:color w:val="32373F"/>
          <w:spacing w:val="2"/>
        </w:rPr>
        <w:t xml:space="preserve">4.2.5 </w:t>
      </w:r>
      <w:r>
        <w:rPr>
          <w:b/>
          <w:bCs/>
          <w:color w:val="32373F"/>
          <w:spacing w:val="2"/>
        </w:rPr>
        <w:t>结果说明</w:t>
      </w:r>
    </w:p>
    <w:p w14:paraId="2946E2DE">
      <w:pPr>
        <w:pStyle w:val="2"/>
        <w:spacing w:before="201" w:line="187" w:lineRule="auto"/>
        <w:ind w:left="4"/>
      </w:pPr>
      <w:r>
        <w:rPr>
          <w:color w:val="32373F"/>
          <w:spacing w:val="4"/>
        </w:rPr>
        <w:t xml:space="preserve">综合四组读出链路的刻度分析结果，高温保持阶段 </w:t>
      </w:r>
      <w:r>
        <w:rPr>
          <w:rFonts w:ascii="Arial" w:hAnsi="Arial" w:eastAsia="Arial" w:cs="Arial"/>
          <w:color w:val="32373F"/>
        </w:rPr>
        <w:t>Calo</w:t>
      </w:r>
      <w:r>
        <w:rPr>
          <w:rFonts w:ascii="Arial" w:hAnsi="Arial" w:eastAsia="Arial" w:cs="Arial"/>
          <w:color w:val="32373F"/>
          <w:spacing w:val="4"/>
        </w:rPr>
        <w:t xml:space="preserve"> </w:t>
      </w:r>
      <w:r>
        <w:rPr>
          <w:color w:val="32373F"/>
          <w:spacing w:val="4"/>
        </w:rPr>
        <w:t>各通道电子学</w:t>
      </w:r>
      <w:r>
        <w:rPr>
          <w:color w:val="32373F"/>
          <w:spacing w:val="3"/>
        </w:rPr>
        <w:t>响应线性特性表现良好。</w:t>
      </w:r>
    </w:p>
    <w:p w14:paraId="1ACEC46C">
      <w:pPr>
        <w:spacing w:line="271" w:lineRule="auto"/>
        <w:rPr>
          <w:rFonts w:ascii="Arial"/>
          <w:sz w:val="21"/>
        </w:rPr>
      </w:pPr>
    </w:p>
    <w:p w14:paraId="6B6412BC">
      <w:pPr>
        <w:pStyle w:val="2"/>
        <w:spacing w:before="95" w:line="186" w:lineRule="auto"/>
        <w:ind w:left="3"/>
      </w:pPr>
      <w:r>
        <w:rPr>
          <w:color w:val="32373F"/>
          <w:spacing w:val="-2"/>
        </w:rPr>
        <w:t>具体结论如下：</w:t>
      </w:r>
    </w:p>
    <w:p w14:paraId="4FFAB720">
      <w:pPr>
        <w:spacing w:line="186" w:lineRule="auto"/>
        <w:sectPr>
          <w:pgSz w:w="11919" w:h="16858"/>
          <w:pgMar w:top="400" w:right="783" w:bottom="0" w:left="785" w:header="0" w:footer="0" w:gutter="0"/>
          <w:cols w:space="720" w:num="1"/>
        </w:sectPr>
      </w:pPr>
    </w:p>
    <w:p w14:paraId="403E20E5">
      <w:pPr>
        <w:pStyle w:val="2"/>
        <w:spacing w:before="223" w:line="232" w:lineRule="auto"/>
        <w:ind w:left="390" w:right="517" w:hanging="234"/>
      </w:pPr>
      <w:r>
        <w:rPr>
          <w:rFonts w:ascii="Arial" w:hAnsi="Arial" w:eastAsia="Arial" w:cs="Arial"/>
          <w:color w:val="32373F"/>
          <w:spacing w:val="4"/>
        </w:rPr>
        <w:t xml:space="preserve">1. </w:t>
      </w:r>
      <w:r>
        <w:rPr>
          <w:color w:val="32373F"/>
          <w:spacing w:val="4"/>
        </w:rPr>
        <w:t>高增益链路（主份与备份）均在低偏压段呈现良好线性，并在高偏压段正常饱和，饱和平台约为</w:t>
      </w:r>
      <w:r>
        <w:rPr>
          <w:rFonts w:ascii="Arial" w:hAnsi="Arial" w:eastAsia="Arial" w:cs="Arial"/>
          <w:color w:val="32373F"/>
          <w:spacing w:val="2"/>
        </w:rPr>
        <w:t xml:space="preserve">60000–65000 </w:t>
      </w:r>
      <w:r>
        <w:rPr>
          <w:rFonts w:ascii="Arial" w:hAnsi="Arial" w:eastAsia="Arial" w:cs="Arial"/>
          <w:color w:val="32373F"/>
        </w:rPr>
        <w:t>ADC</w:t>
      </w:r>
      <w:r>
        <w:rPr>
          <w:color w:val="32373F"/>
          <w:spacing w:val="2"/>
        </w:rPr>
        <w:t>，符合模数转换器量程设计预期；</w:t>
      </w:r>
    </w:p>
    <w:p w14:paraId="2776B4EC">
      <w:pPr>
        <w:pStyle w:val="2"/>
        <w:spacing w:before="78" w:line="237" w:lineRule="auto"/>
        <w:ind w:left="384" w:right="67" w:hanging="246"/>
      </w:pPr>
      <w:r>
        <w:rPr>
          <w:rFonts w:ascii="Arial" w:hAnsi="Arial" w:eastAsia="Arial" w:cs="Arial"/>
          <w:color w:val="32373F"/>
          <w:spacing w:val="5"/>
        </w:rPr>
        <w:t xml:space="preserve">2. </w:t>
      </w:r>
      <w:r>
        <w:rPr>
          <w:color w:val="32373F"/>
          <w:spacing w:val="5"/>
        </w:rPr>
        <w:t>低增益链路（主份与备份）在全偏压扫描范围内均保持优良的</w:t>
      </w:r>
      <w:r>
        <w:rPr>
          <w:color w:val="32373F"/>
          <w:spacing w:val="4"/>
        </w:rPr>
        <w:t>线性响应，无饱和现象，线性度优于高</w:t>
      </w:r>
      <w:r>
        <w:rPr>
          <w:color w:val="32373F"/>
          <w:spacing w:val="-4"/>
        </w:rPr>
        <w:t>增益链路；</w:t>
      </w:r>
    </w:p>
    <w:p w14:paraId="0B6DF235">
      <w:pPr>
        <w:pStyle w:val="2"/>
        <w:spacing w:before="23"/>
        <w:ind w:left="141"/>
      </w:pPr>
      <w:r>
        <w:rPr>
          <w:rFonts w:ascii="Arial" w:hAnsi="Arial" w:eastAsia="Arial" w:cs="Arial"/>
          <w:color w:val="32373F"/>
          <w:spacing w:val="4"/>
        </w:rPr>
        <w:t xml:space="preserve">3. </w:t>
      </w:r>
      <w:r>
        <w:rPr>
          <w:color w:val="32373F"/>
          <w:spacing w:val="4"/>
        </w:rPr>
        <w:t>主份与备份两端对应增益档位的拟合斜率</w:t>
      </w:r>
      <w:r>
        <w:rPr>
          <w:color w:val="32373F"/>
          <w:spacing w:val="3"/>
        </w:rPr>
        <w:t>高度一致，说明主备份链路的增益特性匹配良好；</w:t>
      </w:r>
    </w:p>
    <w:p w14:paraId="143B9481">
      <w:pPr>
        <w:pStyle w:val="2"/>
        <w:spacing w:before="72" w:line="239" w:lineRule="auto"/>
        <w:ind w:left="385" w:right="203" w:hanging="250"/>
      </w:pPr>
      <w:r>
        <w:rPr>
          <w:rFonts w:ascii="Arial" w:hAnsi="Arial" w:eastAsia="Arial" w:cs="Arial"/>
          <w:color w:val="32373F"/>
          <w:spacing w:val="3"/>
        </w:rPr>
        <w:t xml:space="preserve">4. </w:t>
      </w:r>
      <w:r>
        <w:rPr>
          <w:color w:val="32373F"/>
          <w:spacing w:val="3"/>
        </w:rPr>
        <w:t>高低增益斜率之比约为</w:t>
      </w:r>
      <w:r>
        <w:rPr>
          <w:color w:val="32373F"/>
          <w:spacing w:val="21"/>
          <w:w w:val="101"/>
        </w:rPr>
        <w:t xml:space="preserve"> </w:t>
      </w:r>
      <w:r>
        <w:rPr>
          <w:rFonts w:ascii="Arial" w:hAnsi="Arial" w:eastAsia="Arial" w:cs="Arial"/>
          <w:color w:val="32373F"/>
          <w:spacing w:val="3"/>
        </w:rPr>
        <w:t>10.3–10.4</w:t>
      </w:r>
      <w:r>
        <w:rPr>
          <w:color w:val="32373F"/>
          <w:spacing w:val="3"/>
        </w:rPr>
        <w:t>，与约</w:t>
      </w:r>
      <w:r>
        <w:rPr>
          <w:color w:val="32373F"/>
          <w:spacing w:val="33"/>
          <w:w w:val="101"/>
        </w:rPr>
        <w:t xml:space="preserve"> </w:t>
      </w:r>
      <w:r>
        <w:rPr>
          <w:rFonts w:ascii="Arial" w:hAnsi="Arial" w:eastAsia="Arial" w:cs="Arial"/>
          <w:color w:val="32373F"/>
          <w:spacing w:val="3"/>
        </w:rPr>
        <w:t xml:space="preserve">10 </w:t>
      </w:r>
      <w:r>
        <w:rPr>
          <w:color w:val="32373F"/>
          <w:spacing w:val="3"/>
        </w:rPr>
        <w:t>倍增益比的设计目标吻合，验证了双增益读出方案的实</w:t>
      </w:r>
      <w:r>
        <w:rPr>
          <w:color w:val="32373F"/>
          <w:spacing w:val="-6"/>
        </w:rPr>
        <w:t>现精度；</w:t>
      </w:r>
    </w:p>
    <w:p w14:paraId="6E086725">
      <w:pPr>
        <w:pStyle w:val="2"/>
        <w:spacing w:before="58" w:line="239" w:lineRule="auto"/>
        <w:ind w:left="396" w:right="142" w:hanging="255"/>
      </w:pPr>
      <w:r>
        <w:rPr>
          <w:rFonts w:ascii="Arial" w:hAnsi="Arial" w:eastAsia="Arial" w:cs="Arial"/>
          <w:color w:val="32373F"/>
          <w:spacing w:val="4"/>
        </w:rPr>
        <w:t xml:space="preserve">5. </w:t>
      </w:r>
      <w:r>
        <w:rPr>
          <w:color w:val="32373F"/>
          <w:spacing w:val="4"/>
        </w:rPr>
        <w:t xml:space="preserve">全部 </w:t>
      </w:r>
      <w:r>
        <w:rPr>
          <w:rFonts w:ascii="Arial" w:hAnsi="Arial" w:eastAsia="Arial" w:cs="Arial"/>
          <w:color w:val="32373F"/>
          <w:spacing w:val="4"/>
        </w:rPr>
        <w:t xml:space="preserve">25 </w:t>
      </w:r>
      <w:r>
        <w:rPr>
          <w:color w:val="32373F"/>
          <w:spacing w:val="4"/>
        </w:rPr>
        <w:t>个晶体通道在四组读出链路中均未发现增益异常、线性度劣化或失效通道，热循环高温保持</w:t>
      </w:r>
      <w:r>
        <w:rPr>
          <w:color w:val="32373F"/>
          <w:spacing w:val="1"/>
        </w:rPr>
        <w:t>阶段的电子学刻度特性稳定可靠。</w:t>
      </w:r>
    </w:p>
    <w:p w14:paraId="649F9F62">
      <w:pPr>
        <w:spacing w:before="172" w:line="30" w:lineRule="exact"/>
      </w:pPr>
      <w:r>
        <w:drawing>
          <wp:inline distT="0" distB="0" distL="0" distR="0">
            <wp:extent cx="6572250" cy="19050"/>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1"/>
                    <a:stretch>
                      <a:fillRect/>
                    </a:stretch>
                  </pic:blipFill>
                  <pic:spPr>
                    <a:xfrm>
                      <a:off x="0" y="0"/>
                      <a:ext cx="6572250" cy="19050"/>
                    </a:xfrm>
                    <a:prstGeom prst="rect">
                      <a:avLst/>
                    </a:prstGeom>
                  </pic:spPr>
                </pic:pic>
              </a:graphicData>
            </a:graphic>
          </wp:inline>
        </w:drawing>
      </w:r>
    </w:p>
    <w:p w14:paraId="6225EC88">
      <w:pPr>
        <w:pStyle w:val="2"/>
        <w:spacing w:before="211" w:line="187" w:lineRule="auto"/>
        <w:ind w:left="4"/>
        <w:outlineLvl w:val="2"/>
        <w:rPr>
          <w:sz w:val="24"/>
          <w:szCs w:val="24"/>
        </w:rPr>
      </w:pPr>
      <w:r>
        <w:rPr>
          <w:rFonts w:ascii="Arial" w:hAnsi="Arial" w:eastAsia="Arial" w:cs="Arial"/>
          <w:b/>
          <w:bCs/>
          <w:color w:val="32373F"/>
          <w:spacing w:val="6"/>
          <w:sz w:val="24"/>
          <w:szCs w:val="24"/>
        </w:rPr>
        <w:t xml:space="preserve">4.4 </w:t>
      </w:r>
      <w:r>
        <w:rPr>
          <w:rFonts w:ascii="Arial" w:hAnsi="Arial" w:eastAsia="Arial" w:cs="Arial"/>
          <w:b/>
          <w:bCs/>
          <w:color w:val="32373F"/>
          <w:sz w:val="24"/>
          <w:szCs w:val="24"/>
        </w:rPr>
        <w:t>Cosmic</w:t>
      </w:r>
      <w:r>
        <w:rPr>
          <w:rFonts w:ascii="Arial" w:hAnsi="Arial" w:eastAsia="Arial" w:cs="Arial"/>
          <w:b/>
          <w:bCs/>
          <w:color w:val="32373F"/>
          <w:spacing w:val="19"/>
          <w:w w:val="101"/>
          <w:sz w:val="24"/>
          <w:szCs w:val="24"/>
        </w:rPr>
        <w:t xml:space="preserve"> </w:t>
      </w:r>
      <w:r>
        <w:rPr>
          <w:rFonts w:ascii="Arial" w:hAnsi="Arial" w:eastAsia="Arial" w:cs="Arial"/>
          <w:b/>
          <w:bCs/>
          <w:color w:val="32373F"/>
          <w:sz w:val="24"/>
          <w:szCs w:val="24"/>
        </w:rPr>
        <w:t>Ray</w:t>
      </w:r>
      <w:r>
        <w:rPr>
          <w:rFonts w:ascii="Arial" w:hAnsi="Arial" w:eastAsia="Arial" w:cs="Arial"/>
          <w:b/>
          <w:bCs/>
          <w:color w:val="32373F"/>
          <w:spacing w:val="19"/>
          <w:sz w:val="24"/>
          <w:szCs w:val="24"/>
        </w:rPr>
        <w:t xml:space="preserve"> </w:t>
      </w:r>
      <w:r>
        <w:rPr>
          <w:rFonts w:ascii="Arial" w:hAnsi="Arial" w:eastAsia="Arial" w:cs="Arial"/>
          <w:b/>
          <w:bCs/>
          <w:color w:val="32373F"/>
          <w:sz w:val="24"/>
          <w:szCs w:val="24"/>
        </w:rPr>
        <w:t>MIP</w:t>
      </w:r>
      <w:r>
        <w:rPr>
          <w:rFonts w:ascii="Arial" w:hAnsi="Arial" w:eastAsia="Arial" w:cs="Arial"/>
          <w:b/>
          <w:bCs/>
          <w:color w:val="32373F"/>
          <w:spacing w:val="6"/>
          <w:sz w:val="24"/>
          <w:szCs w:val="24"/>
        </w:rPr>
        <w:t xml:space="preserve"> </w:t>
      </w:r>
      <w:r>
        <w:rPr>
          <w:b/>
          <w:bCs/>
          <w:color w:val="32373F"/>
          <w:spacing w:val="6"/>
          <w:sz w:val="24"/>
          <w:szCs w:val="24"/>
        </w:rPr>
        <w:t>数据监测</w:t>
      </w:r>
    </w:p>
    <w:p w14:paraId="768E1733">
      <w:pPr>
        <w:pStyle w:val="2"/>
        <w:spacing w:before="204" w:line="238" w:lineRule="auto"/>
        <w:ind w:left="2" w:right="278" w:firstLine="2"/>
      </w:pPr>
      <w:r>
        <w:rPr>
          <w:color w:val="32373F"/>
          <w:spacing w:val="5"/>
        </w:rPr>
        <w:t>宇宙线最小电离粒子（</w:t>
      </w:r>
      <w:r>
        <w:rPr>
          <w:rFonts w:ascii="Arial" w:hAnsi="Arial" w:eastAsia="Arial" w:cs="Arial"/>
          <w:color w:val="32373F"/>
        </w:rPr>
        <w:t>MIP</w:t>
      </w:r>
      <w:r>
        <w:rPr>
          <w:color w:val="32373F"/>
          <w:spacing w:val="5"/>
        </w:rPr>
        <w:t>）数据可用于综合评估晶体单元及读出链路在热循环过程中的物理响应稳定</w:t>
      </w:r>
      <w:r>
        <w:rPr>
          <w:color w:val="32373F"/>
          <w:spacing w:val="-10"/>
        </w:rPr>
        <w:t>性。</w:t>
      </w:r>
    </w:p>
    <w:p w14:paraId="62A55B31">
      <w:pPr>
        <w:pStyle w:val="2"/>
        <w:spacing w:before="288" w:line="239" w:lineRule="auto"/>
        <w:ind w:left="1" w:right="216" w:firstLine="2"/>
      </w:pPr>
      <w:r>
        <w:rPr>
          <w:color w:val="32373F"/>
          <w:spacing w:val="3"/>
        </w:rPr>
        <w:t>与单纯的电子学基线和增益参数相比，</w:t>
      </w:r>
      <w:r>
        <w:rPr>
          <w:color w:val="32373F"/>
          <w:spacing w:val="33"/>
        </w:rPr>
        <w:t xml:space="preserve"> </w:t>
      </w:r>
      <w:r>
        <w:rPr>
          <w:rFonts w:ascii="Arial" w:hAnsi="Arial" w:eastAsia="Arial" w:cs="Arial"/>
          <w:color w:val="32373F"/>
        </w:rPr>
        <w:t>MIP</w:t>
      </w:r>
      <w:r>
        <w:rPr>
          <w:rFonts w:ascii="Arial" w:hAnsi="Arial" w:eastAsia="Arial" w:cs="Arial"/>
          <w:color w:val="32373F"/>
          <w:spacing w:val="3"/>
        </w:rPr>
        <w:t xml:space="preserve"> </w:t>
      </w:r>
      <w:r>
        <w:rPr>
          <w:color w:val="32373F"/>
          <w:spacing w:val="3"/>
        </w:rPr>
        <w:t>信号能够同时反映闪烁晶体</w:t>
      </w:r>
      <w:r>
        <w:rPr>
          <w:color w:val="32373F"/>
          <w:spacing w:val="2"/>
        </w:rPr>
        <w:t>发光效率、光电转换效率、雪崩</w:t>
      </w:r>
      <w:r>
        <w:rPr>
          <w:color w:val="32373F"/>
          <w:spacing w:val="4"/>
        </w:rPr>
        <w:t>光电二极管增益以及电子学读出链路的整体响应变化，是表征探测器物理性能稳定性的综</w:t>
      </w:r>
      <w:r>
        <w:rPr>
          <w:color w:val="32373F"/>
          <w:spacing w:val="3"/>
        </w:rPr>
        <w:t>合性指标。</w:t>
      </w:r>
    </w:p>
    <w:p w14:paraId="517A7D08">
      <w:pPr>
        <w:pStyle w:val="2"/>
        <w:spacing w:before="270" w:line="233" w:lineRule="auto"/>
        <w:ind w:left="2" w:firstLine="4"/>
      </w:pPr>
      <w:r>
        <w:rPr>
          <w:color w:val="32373F"/>
          <w:spacing w:val="5"/>
        </w:rPr>
        <w:t>为确保分析质量，本实验对宇宙线数据进行了严格筛选，优先选取单晶体击中事例（</w:t>
      </w:r>
      <w:r>
        <w:rPr>
          <w:color w:val="32373F"/>
          <w:spacing w:val="4"/>
        </w:rPr>
        <w:t>即一次触发中仅有一</w:t>
      </w:r>
      <w:r>
        <w:rPr>
          <w:color w:val="32373F"/>
          <w:spacing w:val="5"/>
        </w:rPr>
        <w:t>个晶体单元记录到有效信号的事例）开展分析。相较于多晶体联合击中事例，单晶体击中事例的</w:t>
      </w:r>
      <w:r>
        <w:rPr>
          <w:color w:val="32373F"/>
          <w:spacing w:val="4"/>
        </w:rPr>
        <w:t>能量沉积</w:t>
      </w:r>
      <w:r>
        <w:rPr>
          <w:color w:val="32373F"/>
          <w:spacing w:val="5"/>
        </w:rPr>
        <w:t xml:space="preserve">更为集中，信号形态更接近理想的 </w:t>
      </w:r>
      <w:r>
        <w:rPr>
          <w:rFonts w:ascii="Arial" w:hAnsi="Arial" w:eastAsia="Arial" w:cs="Arial"/>
          <w:color w:val="32373F"/>
        </w:rPr>
        <w:t>MIP</w:t>
      </w:r>
      <w:r>
        <w:rPr>
          <w:rFonts w:ascii="Arial" w:hAnsi="Arial" w:eastAsia="Arial" w:cs="Arial"/>
          <w:color w:val="32373F"/>
          <w:spacing w:val="5"/>
        </w:rPr>
        <w:t xml:space="preserve"> </w:t>
      </w:r>
      <w:r>
        <w:rPr>
          <w:color w:val="32373F"/>
          <w:spacing w:val="5"/>
        </w:rPr>
        <w:t>响应，有效抑制了斜入射宇宙线及电磁</w:t>
      </w:r>
      <w:r>
        <w:rPr>
          <w:color w:val="32373F"/>
          <w:spacing w:val="4"/>
        </w:rPr>
        <w:t>簇射事件对单通道响应分</w:t>
      </w:r>
      <w:r>
        <w:rPr>
          <w:color w:val="32373F"/>
          <w:spacing w:val="3"/>
        </w:rPr>
        <w:t>析的干扰，更适用于最小电离粒子峰位提取和通道稳定性监测。</w:t>
      </w:r>
    </w:p>
    <w:p w14:paraId="144322B7">
      <w:pPr>
        <w:pStyle w:val="2"/>
        <w:spacing w:before="272" w:line="187" w:lineRule="auto"/>
        <w:ind w:left="3"/>
      </w:pPr>
      <w:r>
        <w:rPr>
          <w:color w:val="32373F"/>
          <w:spacing w:val="3"/>
        </w:rPr>
        <w:t xml:space="preserve">基于筛选后的事例样本，分别对以下四组读出链路的 </w:t>
      </w:r>
      <w:r>
        <w:rPr>
          <w:rFonts w:ascii="Arial" w:hAnsi="Arial" w:eastAsia="Arial" w:cs="Arial"/>
          <w:color w:val="32373F"/>
        </w:rPr>
        <w:t>ADC</w:t>
      </w:r>
      <w:r>
        <w:rPr>
          <w:rFonts w:ascii="Arial" w:hAnsi="Arial" w:eastAsia="Arial" w:cs="Arial"/>
          <w:color w:val="32373F"/>
          <w:spacing w:val="3"/>
        </w:rPr>
        <w:t xml:space="preserve"> </w:t>
      </w:r>
      <w:r>
        <w:rPr>
          <w:color w:val="32373F"/>
          <w:spacing w:val="3"/>
        </w:rPr>
        <w:t>谱进行统计分析：</w:t>
      </w:r>
    </w:p>
    <w:p w14:paraId="2B24E127">
      <w:pPr>
        <w:spacing w:line="269" w:lineRule="auto"/>
        <w:rPr>
          <w:rFonts w:ascii="Arial"/>
          <w:sz w:val="21"/>
        </w:rPr>
      </w:pPr>
    </w:p>
    <w:p w14:paraId="37C9CAF5">
      <w:pPr>
        <w:pStyle w:val="2"/>
        <w:spacing w:before="96" w:line="187" w:lineRule="auto"/>
        <w:ind w:left="150"/>
        <w:rPr>
          <w:rFonts w:ascii="新宋体" w:hAnsi="新宋体" w:eastAsia="新宋体" w:cs="新宋体"/>
          <w:sz w:val="20"/>
          <w:szCs w:val="20"/>
        </w:rPr>
      </w:pPr>
      <w:r>
        <w:rPr>
          <w:color w:val="32373F"/>
          <w:position w:val="3"/>
        </w:rPr>
        <w:drawing>
          <wp:inline distT="0" distB="0" distL="0" distR="0">
            <wp:extent cx="47625" cy="47625"/>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45"/>
                    <a:stretch>
                      <a:fillRect/>
                    </a:stretch>
                  </pic:blipFill>
                  <pic:spPr>
                    <a:xfrm>
                      <a:off x="0" y="0"/>
                      <a:ext cx="47625" cy="47625"/>
                    </a:xfrm>
                    <a:prstGeom prst="rect">
                      <a:avLst/>
                    </a:prstGeom>
                  </pic:spPr>
                </pic:pic>
              </a:graphicData>
            </a:graphic>
          </wp:inline>
        </w:drawing>
      </w:r>
      <w:r>
        <w:rPr>
          <w:b/>
          <w:bCs/>
          <w:color w:val="32373F"/>
          <w:spacing w:val="16"/>
        </w:rPr>
        <w:t xml:space="preserve">  </w:t>
      </w:r>
      <w:r>
        <w:rPr>
          <w:b/>
          <w:bCs/>
          <w:color w:val="32373F"/>
          <w:spacing w:val="11"/>
        </w:rPr>
        <w:t>主份高增益</w:t>
      </w:r>
      <w:r>
        <w:rPr>
          <w:b/>
          <w:bCs/>
          <w:color w:val="32373F"/>
          <w:spacing w:val="55"/>
        </w:rPr>
        <w:t xml:space="preserve"> </w:t>
      </w:r>
      <w:r>
        <w:rPr>
          <w:rFonts w:ascii="新宋体" w:hAnsi="新宋体" w:eastAsia="新宋体" w:cs="新宋体"/>
          <w:sz w:val="20"/>
          <w:szCs w:val="20"/>
          <w:shd w:val="clear" w:fill="F3F3F3"/>
        </w:rPr>
        <w:t>main</w:t>
      </w:r>
      <w:r>
        <w:rPr>
          <w:rFonts w:ascii="新宋体" w:hAnsi="新宋体" w:eastAsia="新宋体" w:cs="新宋体"/>
          <w:spacing w:val="11"/>
          <w:sz w:val="20"/>
          <w:szCs w:val="20"/>
          <w:shd w:val="clear" w:fill="F3F3F3"/>
        </w:rPr>
        <w:t xml:space="preserve"> </w:t>
      </w:r>
      <w:r>
        <w:rPr>
          <w:rFonts w:ascii="新宋体" w:hAnsi="新宋体" w:eastAsia="新宋体" w:cs="新宋体"/>
          <w:sz w:val="20"/>
          <w:szCs w:val="20"/>
          <w:shd w:val="clear" w:fill="F3F3F3"/>
        </w:rPr>
        <w:t>high</w:t>
      </w:r>
      <w:r>
        <w:rPr>
          <w:rFonts w:ascii="新宋体" w:hAnsi="新宋体" w:eastAsia="新宋体" w:cs="新宋体"/>
          <w:spacing w:val="11"/>
          <w:sz w:val="20"/>
          <w:szCs w:val="20"/>
          <w:shd w:val="clear" w:fill="F3F3F3"/>
        </w:rPr>
        <w:t xml:space="preserve"> </w:t>
      </w:r>
      <w:r>
        <w:rPr>
          <w:rFonts w:ascii="新宋体" w:hAnsi="新宋体" w:eastAsia="新宋体" w:cs="新宋体"/>
          <w:sz w:val="20"/>
          <w:szCs w:val="20"/>
          <w:shd w:val="clear" w:fill="F3F3F3"/>
        </w:rPr>
        <w:t>ADC</w:t>
      </w:r>
    </w:p>
    <w:p w14:paraId="14468526">
      <w:pPr>
        <w:pStyle w:val="2"/>
        <w:spacing w:before="156" w:line="187" w:lineRule="auto"/>
        <w:ind w:left="150"/>
        <w:rPr>
          <w:rFonts w:ascii="新宋体" w:hAnsi="新宋体" w:eastAsia="新宋体" w:cs="新宋体"/>
          <w:sz w:val="20"/>
          <w:szCs w:val="20"/>
        </w:rPr>
      </w:pPr>
      <w:r>
        <w:rPr>
          <w:color w:val="32373F"/>
          <w:position w:val="3"/>
        </w:rPr>
        <w:drawing>
          <wp:inline distT="0" distB="0" distL="0" distR="0">
            <wp:extent cx="47625" cy="47625"/>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46"/>
                    <a:stretch>
                      <a:fillRect/>
                    </a:stretch>
                  </pic:blipFill>
                  <pic:spPr>
                    <a:xfrm>
                      <a:off x="0" y="0"/>
                      <a:ext cx="47625" cy="47625"/>
                    </a:xfrm>
                    <a:prstGeom prst="rect">
                      <a:avLst/>
                    </a:prstGeom>
                  </pic:spPr>
                </pic:pic>
              </a:graphicData>
            </a:graphic>
          </wp:inline>
        </w:drawing>
      </w:r>
      <w:r>
        <w:rPr>
          <w:b/>
          <w:bCs/>
          <w:color w:val="32373F"/>
          <w:spacing w:val="16"/>
          <w:w w:val="101"/>
        </w:rPr>
        <w:t xml:space="preserve">  </w:t>
      </w:r>
      <w:r>
        <w:rPr>
          <w:b/>
          <w:bCs/>
          <w:color w:val="32373F"/>
          <w:spacing w:val="7"/>
        </w:rPr>
        <w:t>主份低增益</w:t>
      </w:r>
      <w:r>
        <w:rPr>
          <w:b/>
          <w:bCs/>
          <w:color w:val="32373F"/>
          <w:spacing w:val="55"/>
        </w:rPr>
        <w:t xml:space="preserve"> </w:t>
      </w:r>
      <w:r>
        <w:rPr>
          <w:rFonts w:ascii="新宋体" w:hAnsi="新宋体" w:eastAsia="新宋体" w:cs="新宋体"/>
          <w:sz w:val="20"/>
          <w:szCs w:val="20"/>
          <w:shd w:val="clear" w:fill="F3F3F3"/>
        </w:rPr>
        <w:t>main</w:t>
      </w:r>
      <w:r>
        <w:rPr>
          <w:rFonts w:ascii="新宋体" w:hAnsi="新宋体" w:eastAsia="新宋体" w:cs="新宋体"/>
          <w:spacing w:val="28"/>
          <w:sz w:val="20"/>
          <w:szCs w:val="20"/>
          <w:shd w:val="clear" w:fill="F3F3F3"/>
        </w:rPr>
        <w:t xml:space="preserve"> </w:t>
      </w:r>
      <w:r>
        <w:rPr>
          <w:rFonts w:ascii="新宋体" w:hAnsi="新宋体" w:eastAsia="新宋体" w:cs="新宋体"/>
          <w:sz w:val="20"/>
          <w:szCs w:val="20"/>
          <w:shd w:val="clear" w:fill="F3F3F3"/>
        </w:rPr>
        <w:t>low</w:t>
      </w:r>
      <w:r>
        <w:rPr>
          <w:rFonts w:ascii="新宋体" w:hAnsi="新宋体" w:eastAsia="新宋体" w:cs="新宋体"/>
          <w:spacing w:val="7"/>
          <w:sz w:val="20"/>
          <w:szCs w:val="20"/>
          <w:shd w:val="clear" w:fill="F3F3F3"/>
        </w:rPr>
        <w:t xml:space="preserve"> </w:t>
      </w:r>
      <w:r>
        <w:rPr>
          <w:rFonts w:ascii="新宋体" w:hAnsi="新宋体" w:eastAsia="新宋体" w:cs="新宋体"/>
          <w:sz w:val="20"/>
          <w:szCs w:val="20"/>
          <w:shd w:val="clear" w:fill="F3F3F3"/>
        </w:rPr>
        <w:t>ADC</w:t>
      </w:r>
    </w:p>
    <w:p w14:paraId="07600391">
      <w:pPr>
        <w:pStyle w:val="2"/>
        <w:spacing w:before="155" w:line="187" w:lineRule="auto"/>
        <w:ind w:left="150"/>
        <w:rPr>
          <w:rFonts w:ascii="新宋体" w:hAnsi="新宋体" w:eastAsia="新宋体" w:cs="新宋体"/>
          <w:sz w:val="20"/>
          <w:szCs w:val="20"/>
        </w:rPr>
      </w:pPr>
      <w:r>
        <w:rPr>
          <w:color w:val="32373F"/>
          <w:position w:val="3"/>
        </w:rPr>
        <w:drawing>
          <wp:inline distT="0" distB="0" distL="0" distR="0">
            <wp:extent cx="47625" cy="47625"/>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47"/>
                    <a:stretch>
                      <a:fillRect/>
                    </a:stretch>
                  </pic:blipFill>
                  <pic:spPr>
                    <a:xfrm>
                      <a:off x="0" y="0"/>
                      <a:ext cx="47625" cy="47625"/>
                    </a:xfrm>
                    <a:prstGeom prst="rect">
                      <a:avLst/>
                    </a:prstGeom>
                  </pic:spPr>
                </pic:pic>
              </a:graphicData>
            </a:graphic>
          </wp:inline>
        </w:drawing>
      </w:r>
      <w:r>
        <w:rPr>
          <w:b/>
          <w:bCs/>
          <w:color w:val="32373F"/>
          <w:spacing w:val="16"/>
        </w:rPr>
        <w:t xml:space="preserve">  </w:t>
      </w:r>
      <w:r>
        <w:rPr>
          <w:b/>
          <w:bCs/>
          <w:color w:val="32373F"/>
          <w:spacing w:val="12"/>
        </w:rPr>
        <w:t>备份高增益</w:t>
      </w:r>
      <w:r>
        <w:rPr>
          <w:b/>
          <w:bCs/>
          <w:color w:val="32373F"/>
          <w:spacing w:val="58"/>
        </w:rPr>
        <w:t xml:space="preserve"> </w:t>
      </w:r>
      <w:r>
        <w:rPr>
          <w:rFonts w:ascii="新宋体" w:hAnsi="新宋体" w:eastAsia="新宋体" w:cs="新宋体"/>
          <w:sz w:val="20"/>
          <w:szCs w:val="20"/>
          <w:shd w:val="clear" w:fill="F3F3F3"/>
        </w:rPr>
        <w:t>backup</w:t>
      </w:r>
      <w:r>
        <w:rPr>
          <w:rFonts w:ascii="新宋体" w:hAnsi="新宋体" w:eastAsia="新宋体" w:cs="新宋体"/>
          <w:spacing w:val="12"/>
          <w:sz w:val="20"/>
          <w:szCs w:val="20"/>
          <w:shd w:val="clear" w:fill="F3F3F3"/>
        </w:rPr>
        <w:t xml:space="preserve"> </w:t>
      </w:r>
      <w:r>
        <w:rPr>
          <w:rFonts w:ascii="新宋体" w:hAnsi="新宋体" w:eastAsia="新宋体" w:cs="新宋体"/>
          <w:sz w:val="20"/>
          <w:szCs w:val="20"/>
          <w:shd w:val="clear" w:fill="F3F3F3"/>
        </w:rPr>
        <w:t>high</w:t>
      </w:r>
      <w:r>
        <w:rPr>
          <w:rFonts w:ascii="新宋体" w:hAnsi="新宋体" w:eastAsia="新宋体" w:cs="新宋体"/>
          <w:spacing w:val="12"/>
          <w:sz w:val="20"/>
          <w:szCs w:val="20"/>
          <w:shd w:val="clear" w:fill="F3F3F3"/>
        </w:rPr>
        <w:t xml:space="preserve"> </w:t>
      </w:r>
      <w:r>
        <w:rPr>
          <w:rFonts w:ascii="新宋体" w:hAnsi="新宋体" w:eastAsia="新宋体" w:cs="新宋体"/>
          <w:sz w:val="20"/>
          <w:szCs w:val="20"/>
          <w:shd w:val="clear" w:fill="F3F3F3"/>
        </w:rPr>
        <w:t>ADC</w:t>
      </w:r>
    </w:p>
    <w:p w14:paraId="2F4EC2F3">
      <w:pPr>
        <w:pStyle w:val="2"/>
        <w:spacing w:before="158" w:line="186" w:lineRule="auto"/>
        <w:ind w:left="150"/>
        <w:rPr>
          <w:rFonts w:ascii="新宋体" w:hAnsi="新宋体" w:eastAsia="新宋体" w:cs="新宋体"/>
          <w:sz w:val="20"/>
          <w:szCs w:val="20"/>
        </w:rPr>
      </w:pPr>
      <w:r>
        <w:rPr>
          <w:color w:val="32373F"/>
          <w:position w:val="3"/>
        </w:rPr>
        <w:drawing>
          <wp:inline distT="0" distB="0" distL="0" distR="0">
            <wp:extent cx="47625" cy="47625"/>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46"/>
                    <a:stretch>
                      <a:fillRect/>
                    </a:stretch>
                  </pic:blipFill>
                  <pic:spPr>
                    <a:xfrm>
                      <a:off x="0" y="0"/>
                      <a:ext cx="47625" cy="47625"/>
                    </a:xfrm>
                    <a:prstGeom prst="rect">
                      <a:avLst/>
                    </a:prstGeom>
                  </pic:spPr>
                </pic:pic>
              </a:graphicData>
            </a:graphic>
          </wp:inline>
        </w:drawing>
      </w:r>
      <w:r>
        <w:rPr>
          <w:b/>
          <w:bCs/>
          <w:color w:val="32373F"/>
          <w:spacing w:val="14"/>
        </w:rPr>
        <w:t xml:space="preserve">  </w:t>
      </w:r>
      <w:r>
        <w:rPr>
          <w:b/>
          <w:bCs/>
          <w:color w:val="32373F"/>
          <w:spacing w:val="9"/>
        </w:rPr>
        <w:t>备份低增益</w:t>
      </w:r>
      <w:r>
        <w:rPr>
          <w:b/>
          <w:bCs/>
          <w:color w:val="32373F"/>
          <w:spacing w:val="58"/>
        </w:rPr>
        <w:t xml:space="preserve"> </w:t>
      </w:r>
      <w:r>
        <w:rPr>
          <w:rFonts w:ascii="新宋体" w:hAnsi="新宋体" w:eastAsia="新宋体" w:cs="新宋体"/>
          <w:sz w:val="20"/>
          <w:szCs w:val="20"/>
          <w:shd w:val="clear" w:fill="F3F3F3"/>
        </w:rPr>
        <w:t>backup</w:t>
      </w:r>
      <w:r>
        <w:rPr>
          <w:rFonts w:ascii="新宋体" w:hAnsi="新宋体" w:eastAsia="新宋体" w:cs="新宋体"/>
          <w:spacing w:val="29"/>
          <w:sz w:val="20"/>
          <w:szCs w:val="20"/>
          <w:shd w:val="clear" w:fill="F3F3F3"/>
        </w:rPr>
        <w:t xml:space="preserve"> </w:t>
      </w:r>
      <w:r>
        <w:rPr>
          <w:rFonts w:ascii="新宋体" w:hAnsi="新宋体" w:eastAsia="新宋体" w:cs="新宋体"/>
          <w:sz w:val="20"/>
          <w:szCs w:val="20"/>
          <w:shd w:val="clear" w:fill="F3F3F3"/>
        </w:rPr>
        <w:t>low</w:t>
      </w:r>
      <w:r>
        <w:rPr>
          <w:rFonts w:ascii="新宋体" w:hAnsi="新宋体" w:eastAsia="新宋体" w:cs="新宋体"/>
          <w:spacing w:val="9"/>
          <w:sz w:val="20"/>
          <w:szCs w:val="20"/>
          <w:shd w:val="clear" w:fill="F3F3F3"/>
        </w:rPr>
        <w:t xml:space="preserve"> </w:t>
      </w:r>
      <w:r>
        <w:rPr>
          <w:rFonts w:ascii="新宋体" w:hAnsi="新宋体" w:eastAsia="新宋体" w:cs="新宋体"/>
          <w:sz w:val="20"/>
          <w:szCs w:val="20"/>
          <w:shd w:val="clear" w:fill="F3F3F3"/>
        </w:rPr>
        <w:t>ADC</w:t>
      </w:r>
    </w:p>
    <w:p w14:paraId="6F0AFCBC">
      <w:pPr>
        <w:pStyle w:val="2"/>
        <w:spacing w:before="214" w:line="235" w:lineRule="auto"/>
        <w:ind w:left="2" w:right="74"/>
        <w:jc w:val="both"/>
      </w:pPr>
      <w:r>
        <w:rPr>
          <w:color w:val="32373F"/>
          <w:spacing w:val="5"/>
        </w:rPr>
        <w:t xml:space="preserve">通过比较高温保持阶段与低温保持阶段、以及不同热循环次数下各读出链路的 </w:t>
      </w:r>
      <w:r>
        <w:rPr>
          <w:rFonts w:ascii="Arial" w:hAnsi="Arial" w:eastAsia="Arial" w:cs="Arial"/>
          <w:color w:val="32373F"/>
        </w:rPr>
        <w:t>ADC</w:t>
      </w:r>
      <w:r>
        <w:rPr>
          <w:rFonts w:ascii="Arial" w:hAnsi="Arial" w:eastAsia="Arial" w:cs="Arial"/>
          <w:color w:val="32373F"/>
          <w:spacing w:val="5"/>
        </w:rPr>
        <w:t xml:space="preserve"> </w:t>
      </w:r>
      <w:r>
        <w:rPr>
          <w:color w:val="32373F"/>
          <w:spacing w:val="5"/>
        </w:rPr>
        <w:t>谱形、最</w:t>
      </w:r>
      <w:r>
        <w:rPr>
          <w:color w:val="32373F"/>
          <w:spacing w:val="4"/>
        </w:rPr>
        <w:t>可几能量损失峰位（</w:t>
      </w:r>
      <w:r>
        <w:rPr>
          <w:rFonts w:ascii="Arial" w:hAnsi="Arial" w:eastAsia="Arial" w:cs="Arial"/>
          <w:color w:val="32373F"/>
        </w:rPr>
        <w:t>MPV</w:t>
      </w:r>
      <w:r>
        <w:rPr>
          <w:color w:val="32373F"/>
          <w:spacing w:val="4"/>
        </w:rPr>
        <w:t>）及谱宽变化，评判</w:t>
      </w:r>
      <w:r>
        <w:rPr>
          <w:color w:val="32373F"/>
          <w:spacing w:val="47"/>
          <w:w w:val="101"/>
        </w:rPr>
        <w:t xml:space="preserve"> </w:t>
      </w:r>
      <w:r>
        <w:rPr>
          <w:rFonts w:ascii="Arial" w:hAnsi="Arial" w:eastAsia="Arial" w:cs="Arial"/>
          <w:color w:val="32373F"/>
        </w:rPr>
        <w:t>MIP</w:t>
      </w:r>
      <w:r>
        <w:rPr>
          <w:rFonts w:ascii="Arial" w:hAnsi="Arial" w:eastAsia="Arial" w:cs="Arial"/>
          <w:color w:val="32373F"/>
          <w:spacing w:val="4"/>
        </w:rPr>
        <w:t xml:space="preserve"> </w:t>
      </w:r>
      <w:r>
        <w:rPr>
          <w:color w:val="32373F"/>
          <w:spacing w:val="4"/>
        </w:rPr>
        <w:t>响应是否随温度发生系统性偏移，以及不同晶体单元之间是否存在响应一致性差异，从而对探测器在热循环条件下的整体物理性</w:t>
      </w:r>
      <w:r>
        <w:rPr>
          <w:color w:val="32373F"/>
          <w:spacing w:val="3"/>
        </w:rPr>
        <w:t>能稳定性作出综合判断。</w:t>
      </w:r>
    </w:p>
    <w:p w14:paraId="2C8562C1">
      <w:pPr>
        <w:spacing w:before="298" w:line="204" w:lineRule="auto"/>
        <w:ind w:left="16"/>
        <w:rPr>
          <w:rFonts w:ascii="Arial" w:hAnsi="Arial" w:eastAsia="Arial" w:cs="Arial"/>
          <w:sz w:val="24"/>
          <w:szCs w:val="24"/>
        </w:rPr>
      </w:pPr>
      <w:r>
        <w:rPr>
          <w:rFonts w:ascii="Arial" w:hAnsi="Arial" w:eastAsia="Arial" w:cs="Arial"/>
          <w:b/>
          <w:bCs/>
          <w:color w:val="32373F"/>
          <w:sz w:val="24"/>
          <w:szCs w:val="24"/>
        </w:rPr>
        <w:t>result</w:t>
      </w:r>
      <w:r>
        <w:rPr>
          <w:rFonts w:ascii="Arial" w:hAnsi="Arial" w:eastAsia="Arial" w:cs="Arial"/>
          <w:b/>
          <w:bCs/>
          <w:color w:val="32373F"/>
          <w:spacing w:val="6"/>
          <w:sz w:val="24"/>
          <w:szCs w:val="24"/>
        </w:rPr>
        <w:t>_</w:t>
      </w:r>
      <w:r>
        <w:rPr>
          <w:rFonts w:ascii="Arial" w:hAnsi="Arial" w:eastAsia="Arial" w:cs="Arial"/>
          <w:b/>
          <w:bCs/>
          <w:color w:val="32373F"/>
          <w:sz w:val="24"/>
          <w:szCs w:val="24"/>
        </w:rPr>
        <w:t>Calo</w:t>
      </w:r>
      <w:r>
        <w:rPr>
          <w:rFonts w:ascii="Arial" w:hAnsi="Arial" w:eastAsia="Arial" w:cs="Arial"/>
          <w:b/>
          <w:bCs/>
          <w:color w:val="32373F"/>
          <w:spacing w:val="6"/>
          <w:sz w:val="24"/>
          <w:szCs w:val="24"/>
        </w:rPr>
        <w:t>_</w:t>
      </w:r>
      <w:r>
        <w:rPr>
          <w:rFonts w:ascii="Arial" w:hAnsi="Arial" w:eastAsia="Arial" w:cs="Arial"/>
          <w:b/>
          <w:bCs/>
          <w:color w:val="32373F"/>
          <w:sz w:val="24"/>
          <w:szCs w:val="24"/>
        </w:rPr>
        <w:t>cosmic</w:t>
      </w:r>
      <w:r>
        <w:rPr>
          <w:rFonts w:ascii="Arial" w:hAnsi="Arial" w:eastAsia="Arial" w:cs="Arial"/>
          <w:b/>
          <w:bCs/>
          <w:color w:val="32373F"/>
          <w:spacing w:val="6"/>
          <w:sz w:val="24"/>
          <w:szCs w:val="24"/>
        </w:rPr>
        <w:t>_20260321_0418</w:t>
      </w:r>
    </w:p>
    <w:p w14:paraId="036B5C68">
      <w:pPr>
        <w:pStyle w:val="2"/>
        <w:spacing w:before="265" w:line="187" w:lineRule="auto"/>
        <w:ind w:left="4"/>
        <w:outlineLvl w:val="3"/>
        <w:rPr>
          <w:rFonts w:ascii="Arial" w:hAnsi="Arial" w:eastAsia="Arial" w:cs="Arial"/>
        </w:rPr>
      </w:pPr>
      <w:r>
        <w:rPr>
          <w:rFonts w:ascii="Arial" w:hAnsi="Arial" w:eastAsia="Arial" w:cs="Arial"/>
          <w:b/>
          <w:bCs/>
          <w:color w:val="32373F"/>
          <w:spacing w:val="3"/>
        </w:rPr>
        <w:t xml:space="preserve">4.4.1 </w:t>
      </w:r>
      <w:r>
        <w:rPr>
          <w:b/>
          <w:bCs/>
          <w:color w:val="32373F"/>
          <w:spacing w:val="3"/>
        </w:rPr>
        <w:t>主份高增益</w:t>
      </w:r>
      <w:r>
        <w:rPr>
          <w:rFonts w:ascii="Arial" w:hAnsi="Arial" w:eastAsia="Arial" w:cs="Arial"/>
          <w:b/>
          <w:bCs/>
          <w:color w:val="32373F"/>
        </w:rPr>
        <w:t>ADC</w:t>
      </w:r>
    </w:p>
    <w:p w14:paraId="7503DCC2">
      <w:pPr>
        <w:spacing w:line="187" w:lineRule="auto"/>
        <w:rPr>
          <w:rFonts w:ascii="Arial" w:hAnsi="Arial" w:eastAsia="Arial" w:cs="Arial"/>
        </w:rPr>
        <w:sectPr>
          <w:pgSz w:w="11919" w:h="16858"/>
          <w:pgMar w:top="400" w:right="783" w:bottom="0" w:left="785" w:header="0" w:footer="0" w:gutter="0"/>
          <w:cols w:space="720" w:num="1"/>
        </w:sectPr>
      </w:pPr>
    </w:p>
    <w:p w14:paraId="3B3EFBB7">
      <w:pPr>
        <w:spacing w:before="160" w:line="10184" w:lineRule="exact"/>
      </w:pPr>
      <w:r>
        <w:rPr>
          <w:position w:val="-203"/>
        </w:rPr>
        <w:drawing>
          <wp:inline distT="0" distB="0" distL="0" distR="0">
            <wp:extent cx="6572250" cy="6466840"/>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48"/>
                    <a:stretch>
                      <a:fillRect/>
                    </a:stretch>
                  </pic:blipFill>
                  <pic:spPr>
                    <a:xfrm>
                      <a:off x="0" y="0"/>
                      <a:ext cx="6572250" cy="6467467"/>
                    </a:xfrm>
                    <a:prstGeom prst="rect">
                      <a:avLst/>
                    </a:prstGeom>
                  </pic:spPr>
                </pic:pic>
              </a:graphicData>
            </a:graphic>
          </wp:inline>
        </w:drawing>
      </w:r>
    </w:p>
    <w:p w14:paraId="1B303711">
      <w:pPr>
        <w:pStyle w:val="2"/>
        <w:spacing w:before="320"/>
        <w:ind w:left="3"/>
      </w:pPr>
      <w:r>
        <w:rPr>
          <w:color w:val="32373F"/>
          <w:spacing w:val="4"/>
        </w:rPr>
        <w:t>该图展示了高温保持阶段主份高增益读出链</w:t>
      </w:r>
      <w:r>
        <w:rPr>
          <w:color w:val="32373F"/>
          <w:spacing w:val="3"/>
        </w:rPr>
        <w:t xml:space="preserve">路 </w:t>
      </w:r>
      <w:r>
        <w:rPr>
          <w:rFonts w:ascii="Arial" w:hAnsi="Arial" w:eastAsia="Arial" w:cs="Arial"/>
          <w:color w:val="32373F"/>
          <w:spacing w:val="3"/>
        </w:rPr>
        <w:t xml:space="preserve">25 </w:t>
      </w:r>
      <w:r>
        <w:rPr>
          <w:color w:val="32373F"/>
          <w:spacing w:val="3"/>
        </w:rPr>
        <w:t xml:space="preserve">个晶体通道的宇宙线 </w:t>
      </w:r>
      <w:r>
        <w:rPr>
          <w:rFonts w:ascii="Arial" w:hAnsi="Arial" w:eastAsia="Arial" w:cs="Arial"/>
          <w:color w:val="32373F"/>
        </w:rPr>
        <w:t>ADC</w:t>
      </w:r>
      <w:r>
        <w:rPr>
          <w:rFonts w:ascii="Arial" w:hAnsi="Arial" w:eastAsia="Arial" w:cs="Arial"/>
          <w:color w:val="32373F"/>
          <w:spacing w:val="3"/>
        </w:rPr>
        <w:t xml:space="preserve"> </w:t>
      </w:r>
      <w:r>
        <w:rPr>
          <w:color w:val="32373F"/>
          <w:spacing w:val="3"/>
        </w:rPr>
        <w:t>谱分布。</w:t>
      </w:r>
    </w:p>
    <w:p w14:paraId="16CA5D1F">
      <w:pPr>
        <w:pStyle w:val="2"/>
        <w:spacing w:before="283" w:line="235" w:lineRule="auto"/>
        <w:ind w:left="1"/>
      </w:pPr>
      <w:r>
        <w:rPr>
          <w:color w:val="32373F"/>
          <w:spacing w:val="4"/>
        </w:rPr>
        <w:t>各通道采用朗道函数（</w:t>
      </w:r>
      <w:r>
        <w:rPr>
          <w:rFonts w:ascii="Arial" w:hAnsi="Arial" w:eastAsia="Arial" w:cs="Arial"/>
          <w:color w:val="32373F"/>
        </w:rPr>
        <w:t>Landau</w:t>
      </w:r>
      <w:r>
        <w:rPr>
          <w:rFonts w:ascii="Arial" w:hAnsi="Arial" w:eastAsia="Arial" w:cs="Arial"/>
          <w:color w:val="32373F"/>
          <w:spacing w:val="4"/>
        </w:rPr>
        <w:t xml:space="preserve"> </w:t>
      </w:r>
      <w:r>
        <w:rPr>
          <w:rFonts w:ascii="Arial" w:hAnsi="Arial" w:eastAsia="Arial" w:cs="Arial"/>
          <w:color w:val="32373F"/>
        </w:rPr>
        <w:t>function</w:t>
      </w:r>
      <w:r>
        <w:rPr>
          <w:color w:val="32373F"/>
          <w:spacing w:val="4"/>
        </w:rPr>
        <w:t>）与高斯函数的卷积进行拟合，红色曲线为拟合结果。</w:t>
      </w:r>
    </w:p>
    <w:p w14:paraId="3F018287">
      <w:pPr>
        <w:spacing w:line="251" w:lineRule="auto"/>
        <w:rPr>
          <w:rFonts w:ascii="Arial"/>
          <w:sz w:val="21"/>
        </w:rPr>
      </w:pPr>
    </w:p>
    <w:p w14:paraId="680139D6">
      <w:pPr>
        <w:pStyle w:val="2"/>
        <w:spacing w:before="95" w:line="186" w:lineRule="auto"/>
        <w:ind w:left="2"/>
      </w:pPr>
      <w:r>
        <w:rPr>
          <w:color w:val="32373F"/>
          <w:spacing w:val="2"/>
        </w:rPr>
        <w:t>从谱形来看，各通道可明显分为两类：</w:t>
      </w:r>
    </w:p>
    <w:p w14:paraId="0E55D00A">
      <w:pPr>
        <w:pStyle w:val="2"/>
        <w:spacing w:before="327" w:line="231" w:lineRule="auto"/>
        <w:ind w:left="2" w:right="198" w:firstLine="10"/>
        <w:jc w:val="both"/>
      </w:pPr>
      <w:r>
        <w:rPr>
          <w:b/>
          <w:bCs/>
          <w:color w:val="32373F"/>
          <w:spacing w:val="3"/>
        </w:rPr>
        <w:t>中心区域晶体</w:t>
      </w:r>
      <w:r>
        <w:rPr>
          <w:color w:val="32373F"/>
          <w:spacing w:val="3"/>
        </w:rPr>
        <w:t xml:space="preserve">（第 </w:t>
      </w:r>
      <w:r>
        <w:rPr>
          <w:rFonts w:ascii="Arial" w:hAnsi="Arial" w:eastAsia="Arial" w:cs="Arial"/>
          <w:color w:val="32373F"/>
          <w:spacing w:val="3"/>
        </w:rPr>
        <w:t>6–8</w:t>
      </w:r>
      <w:r>
        <w:rPr>
          <w:color w:val="32373F"/>
          <w:spacing w:val="3"/>
        </w:rPr>
        <w:t>、</w:t>
      </w:r>
      <w:r>
        <w:rPr>
          <w:color w:val="32373F"/>
          <w:spacing w:val="-35"/>
        </w:rPr>
        <w:t xml:space="preserve"> </w:t>
      </w:r>
      <w:r>
        <w:rPr>
          <w:rFonts w:ascii="Arial" w:hAnsi="Arial" w:eastAsia="Arial" w:cs="Arial"/>
          <w:color w:val="32373F"/>
          <w:spacing w:val="3"/>
        </w:rPr>
        <w:t>11–13</w:t>
      </w:r>
      <w:r>
        <w:rPr>
          <w:color w:val="32373F"/>
          <w:spacing w:val="3"/>
        </w:rPr>
        <w:t>、</w:t>
      </w:r>
      <w:r>
        <w:rPr>
          <w:color w:val="32373F"/>
          <w:spacing w:val="-35"/>
        </w:rPr>
        <w:t xml:space="preserve"> </w:t>
      </w:r>
      <w:r>
        <w:rPr>
          <w:rFonts w:ascii="Arial" w:hAnsi="Arial" w:eastAsia="Arial" w:cs="Arial"/>
          <w:color w:val="32373F"/>
          <w:spacing w:val="3"/>
        </w:rPr>
        <w:t>16–18</w:t>
      </w:r>
      <w:r>
        <w:rPr>
          <w:rFonts w:ascii="Arial" w:hAnsi="Arial" w:eastAsia="Arial" w:cs="Arial"/>
          <w:color w:val="32373F"/>
          <w:spacing w:val="2"/>
        </w:rPr>
        <w:t xml:space="preserve"> </w:t>
      </w:r>
      <w:r>
        <w:rPr>
          <w:color w:val="32373F"/>
          <w:spacing w:val="2"/>
        </w:rPr>
        <w:t>号等</w:t>
      </w:r>
      <w:r>
        <w:rPr>
          <w:color w:val="32373F"/>
          <w:spacing w:val="4"/>
        </w:rPr>
        <w:t>）：</w:t>
      </w:r>
      <w:r>
        <w:rPr>
          <w:rFonts w:ascii="Arial" w:hAnsi="Arial" w:eastAsia="Arial" w:cs="Arial"/>
          <w:color w:val="32373F"/>
        </w:rPr>
        <w:t>ADC</w:t>
      </w:r>
      <w:r>
        <w:rPr>
          <w:rFonts w:ascii="Arial" w:hAnsi="Arial" w:eastAsia="Arial" w:cs="Arial"/>
          <w:color w:val="32373F"/>
          <w:spacing w:val="2"/>
        </w:rPr>
        <w:t xml:space="preserve"> </w:t>
      </w:r>
      <w:r>
        <w:rPr>
          <w:color w:val="32373F"/>
          <w:spacing w:val="2"/>
        </w:rPr>
        <w:t>谱呈现出清晰的最小电离粒子特征峰，峰形较为</w:t>
      </w:r>
      <w:r>
        <w:rPr>
          <w:color w:val="32373F"/>
          <w:spacing w:val="4"/>
        </w:rPr>
        <w:t>对称，朗道卷积拟合效果良好，最可几能量损失峰位（</w:t>
      </w:r>
      <w:r>
        <w:rPr>
          <w:rFonts w:ascii="Arial" w:hAnsi="Arial" w:eastAsia="Arial" w:cs="Arial"/>
          <w:color w:val="32373F"/>
        </w:rPr>
        <w:t>MPV</w:t>
      </w:r>
      <w:r>
        <w:rPr>
          <w:color w:val="32373F"/>
          <w:spacing w:val="4"/>
        </w:rPr>
        <w:t>）分布在约</w:t>
      </w:r>
      <w:r>
        <w:rPr>
          <w:color w:val="32373F"/>
          <w:spacing w:val="33"/>
          <w:w w:val="101"/>
        </w:rPr>
        <w:t xml:space="preserve"> </w:t>
      </w:r>
      <w:r>
        <w:rPr>
          <w:rFonts w:ascii="Arial" w:hAnsi="Arial" w:eastAsia="Arial" w:cs="Arial"/>
          <w:color w:val="32373F"/>
          <w:spacing w:val="4"/>
        </w:rPr>
        <w:t xml:space="preserve">5800–6850 </w:t>
      </w:r>
      <w:r>
        <w:rPr>
          <w:rFonts w:ascii="Arial" w:hAnsi="Arial" w:eastAsia="Arial" w:cs="Arial"/>
          <w:color w:val="32373F"/>
        </w:rPr>
        <w:t>ADC</w:t>
      </w:r>
      <w:r>
        <w:rPr>
          <w:rFonts w:ascii="Arial" w:hAnsi="Arial" w:eastAsia="Arial" w:cs="Arial"/>
          <w:color w:val="32373F"/>
          <w:spacing w:val="4"/>
        </w:rPr>
        <w:t xml:space="preserve"> </w:t>
      </w:r>
      <w:r>
        <w:rPr>
          <w:color w:val="32373F"/>
          <w:spacing w:val="4"/>
        </w:rPr>
        <w:t>之间，统计量</w:t>
      </w:r>
      <w:r>
        <w:rPr>
          <w:color w:val="32373F"/>
          <w:spacing w:val="2"/>
        </w:rPr>
        <w:t xml:space="preserve">（有效事例数）在 </w:t>
      </w:r>
      <w:r>
        <w:rPr>
          <w:rFonts w:ascii="Arial" w:hAnsi="Arial" w:eastAsia="Arial" w:cs="Arial"/>
          <w:color w:val="32373F"/>
          <w:spacing w:val="2"/>
        </w:rPr>
        <w:t xml:space="preserve">330–360 </w:t>
      </w:r>
      <w:r>
        <w:rPr>
          <w:color w:val="32373F"/>
          <w:spacing w:val="2"/>
        </w:rPr>
        <w:t>个左右，信号质量较好。</w:t>
      </w:r>
    </w:p>
    <w:p w14:paraId="34C95A77">
      <w:pPr>
        <w:pStyle w:val="2"/>
        <w:spacing w:before="287" w:line="233" w:lineRule="auto"/>
        <w:ind w:left="4" w:right="35"/>
        <w:jc w:val="both"/>
      </w:pPr>
      <w:r>
        <w:rPr>
          <w:b/>
          <w:bCs/>
          <w:color w:val="32373F"/>
          <w:spacing w:val="1"/>
        </w:rPr>
        <w:t>边角区域晶体</w:t>
      </w:r>
      <w:r>
        <w:rPr>
          <w:color w:val="32373F"/>
          <w:spacing w:val="1"/>
        </w:rPr>
        <w:t xml:space="preserve">（第 </w:t>
      </w:r>
      <w:r>
        <w:rPr>
          <w:rFonts w:ascii="Arial" w:hAnsi="Arial" w:eastAsia="Arial" w:cs="Arial"/>
          <w:color w:val="32373F"/>
          <w:spacing w:val="1"/>
        </w:rPr>
        <w:t>0</w:t>
      </w:r>
      <w:r>
        <w:rPr>
          <w:color w:val="32373F"/>
          <w:spacing w:val="1"/>
        </w:rPr>
        <w:t>、</w:t>
      </w:r>
      <w:r>
        <w:rPr>
          <w:rFonts w:ascii="Arial" w:hAnsi="Arial" w:eastAsia="Arial" w:cs="Arial"/>
          <w:color w:val="32373F"/>
          <w:spacing w:val="1"/>
        </w:rPr>
        <w:t>4</w:t>
      </w:r>
      <w:r>
        <w:rPr>
          <w:color w:val="32373F"/>
          <w:spacing w:val="1"/>
        </w:rPr>
        <w:t>、</w:t>
      </w:r>
      <w:r>
        <w:rPr>
          <w:rFonts w:ascii="Arial" w:hAnsi="Arial" w:eastAsia="Arial" w:cs="Arial"/>
          <w:color w:val="32373F"/>
          <w:spacing w:val="1"/>
        </w:rPr>
        <w:t>5</w:t>
      </w:r>
      <w:r>
        <w:rPr>
          <w:color w:val="32373F"/>
          <w:spacing w:val="1"/>
        </w:rPr>
        <w:t>、</w:t>
      </w:r>
      <w:r>
        <w:rPr>
          <w:color w:val="32373F"/>
          <w:spacing w:val="-36"/>
        </w:rPr>
        <w:t xml:space="preserve"> </w:t>
      </w:r>
      <w:r>
        <w:rPr>
          <w:rFonts w:ascii="Arial" w:hAnsi="Arial" w:eastAsia="Arial" w:cs="Arial"/>
          <w:color w:val="32373F"/>
          <w:spacing w:val="1"/>
        </w:rPr>
        <w:t>10</w:t>
      </w:r>
      <w:r>
        <w:rPr>
          <w:color w:val="32373F"/>
          <w:spacing w:val="1"/>
        </w:rPr>
        <w:t>、</w:t>
      </w:r>
      <w:r>
        <w:rPr>
          <w:color w:val="32373F"/>
          <w:spacing w:val="-35"/>
        </w:rPr>
        <w:t xml:space="preserve"> </w:t>
      </w:r>
      <w:r>
        <w:rPr>
          <w:rFonts w:ascii="Arial" w:hAnsi="Arial" w:eastAsia="Arial" w:cs="Arial"/>
          <w:color w:val="32373F"/>
          <w:spacing w:val="1"/>
        </w:rPr>
        <w:t>14</w:t>
      </w:r>
      <w:r>
        <w:rPr>
          <w:color w:val="32373F"/>
          <w:spacing w:val="1"/>
        </w:rPr>
        <w:t>、</w:t>
      </w:r>
      <w:r>
        <w:rPr>
          <w:color w:val="32373F"/>
          <w:spacing w:val="-36"/>
        </w:rPr>
        <w:t xml:space="preserve"> </w:t>
      </w:r>
      <w:r>
        <w:rPr>
          <w:rFonts w:ascii="Arial" w:hAnsi="Arial" w:eastAsia="Arial" w:cs="Arial"/>
          <w:color w:val="32373F"/>
          <w:spacing w:val="1"/>
        </w:rPr>
        <w:t>15</w:t>
      </w:r>
      <w:r>
        <w:rPr>
          <w:color w:val="32373F"/>
          <w:spacing w:val="1"/>
        </w:rPr>
        <w:t>、</w:t>
      </w:r>
      <w:r>
        <w:rPr>
          <w:color w:val="32373F"/>
          <w:spacing w:val="-35"/>
        </w:rPr>
        <w:t xml:space="preserve"> </w:t>
      </w:r>
      <w:r>
        <w:rPr>
          <w:rFonts w:ascii="Arial" w:hAnsi="Arial" w:eastAsia="Arial" w:cs="Arial"/>
          <w:color w:val="32373F"/>
          <w:spacing w:val="1"/>
        </w:rPr>
        <w:t xml:space="preserve">19–24 </w:t>
      </w:r>
      <w:r>
        <w:rPr>
          <w:color w:val="32373F"/>
          <w:spacing w:val="1"/>
        </w:rPr>
        <w:t>号等</w:t>
      </w:r>
      <w:r>
        <w:rPr>
          <w:color w:val="32373F"/>
          <w:spacing w:val="8"/>
        </w:rPr>
        <w:t>）：</w:t>
      </w:r>
      <w:r>
        <w:rPr>
          <w:rFonts w:ascii="Arial" w:hAnsi="Arial" w:eastAsia="Arial" w:cs="Arial"/>
          <w:color w:val="32373F"/>
        </w:rPr>
        <w:t>ADC</w:t>
      </w:r>
      <w:r>
        <w:rPr>
          <w:rFonts w:ascii="Arial" w:hAnsi="Arial" w:eastAsia="Arial" w:cs="Arial"/>
          <w:color w:val="32373F"/>
          <w:spacing w:val="1"/>
        </w:rPr>
        <w:t xml:space="preserve"> </w:t>
      </w:r>
      <w:r>
        <w:rPr>
          <w:color w:val="32373F"/>
          <w:spacing w:val="1"/>
        </w:rPr>
        <w:t xml:space="preserve">谱峰形向低 </w:t>
      </w:r>
      <w:r>
        <w:rPr>
          <w:rFonts w:ascii="Arial" w:hAnsi="Arial" w:eastAsia="Arial" w:cs="Arial"/>
          <w:color w:val="32373F"/>
        </w:rPr>
        <w:t>ADC</w:t>
      </w:r>
      <w:r>
        <w:rPr>
          <w:rFonts w:ascii="Arial" w:hAnsi="Arial" w:eastAsia="Arial" w:cs="Arial"/>
          <w:color w:val="32373F"/>
          <w:spacing w:val="1"/>
        </w:rPr>
        <w:t xml:space="preserve"> </w:t>
      </w:r>
      <w:r>
        <w:rPr>
          <w:color w:val="32373F"/>
          <w:spacing w:val="1"/>
        </w:rPr>
        <w:t>端偏移，</w:t>
      </w:r>
      <w:r>
        <w:rPr>
          <w:color w:val="32373F"/>
          <w:spacing w:val="-32"/>
        </w:rPr>
        <w:t xml:space="preserve"> </w:t>
      </w:r>
      <w:r>
        <w:rPr>
          <w:rFonts w:ascii="Arial" w:hAnsi="Arial" w:eastAsia="Arial" w:cs="Arial"/>
          <w:color w:val="32373F"/>
        </w:rPr>
        <w:t>MPV</w:t>
      </w:r>
      <w:r>
        <w:rPr>
          <w:rFonts w:ascii="Arial" w:hAnsi="Arial" w:eastAsia="Arial" w:cs="Arial"/>
          <w:color w:val="32373F"/>
          <w:spacing w:val="1"/>
        </w:rPr>
        <w:t xml:space="preserve"> </w:t>
      </w:r>
      <w:r>
        <w:rPr>
          <w:color w:val="32373F"/>
          <w:spacing w:val="1"/>
        </w:rPr>
        <w:t>分布在</w:t>
      </w:r>
      <w:r>
        <w:rPr>
          <w:color w:val="32373F"/>
          <w:spacing w:val="3"/>
        </w:rPr>
        <w:t xml:space="preserve">约 </w:t>
      </w:r>
      <w:r>
        <w:rPr>
          <w:rFonts w:ascii="Arial" w:hAnsi="Arial" w:eastAsia="Arial" w:cs="Arial"/>
          <w:color w:val="32373F"/>
          <w:spacing w:val="3"/>
        </w:rPr>
        <w:t xml:space="preserve">4000–5400 </w:t>
      </w:r>
      <w:r>
        <w:rPr>
          <w:rFonts w:ascii="Arial" w:hAnsi="Arial" w:eastAsia="Arial" w:cs="Arial"/>
          <w:color w:val="32373F"/>
        </w:rPr>
        <w:t>ADC</w:t>
      </w:r>
      <w:r>
        <w:rPr>
          <w:rFonts w:ascii="Arial" w:hAnsi="Arial" w:eastAsia="Arial" w:cs="Arial"/>
          <w:color w:val="32373F"/>
          <w:spacing w:val="3"/>
        </w:rPr>
        <w:t xml:space="preserve"> </w:t>
      </w:r>
      <w:r>
        <w:rPr>
          <w:color w:val="32373F"/>
          <w:spacing w:val="3"/>
        </w:rPr>
        <w:t>之间，有效统计量相对较多（</w:t>
      </w:r>
      <w:r>
        <w:rPr>
          <w:rFonts w:ascii="Arial" w:hAnsi="Arial" w:eastAsia="Arial" w:cs="Arial"/>
          <w:color w:val="32373F"/>
          <w:spacing w:val="3"/>
        </w:rPr>
        <w:t xml:space="preserve">1250–3086 </w:t>
      </w:r>
      <w:r>
        <w:rPr>
          <w:color w:val="32373F"/>
          <w:spacing w:val="3"/>
        </w:rPr>
        <w:t>个</w:t>
      </w:r>
      <w:r>
        <w:rPr>
          <w:color w:val="32373F"/>
          <w:spacing w:val="7"/>
        </w:rPr>
        <w:t>），</w:t>
      </w:r>
      <w:r>
        <w:rPr>
          <w:color w:val="32373F"/>
          <w:spacing w:val="3"/>
        </w:rPr>
        <w:t>但谱形呈现出更明显的低能拖尾，</w:t>
      </w:r>
    </w:p>
    <w:p w14:paraId="1BD970F1">
      <w:pPr>
        <w:pStyle w:val="2"/>
        <w:spacing w:before="29" w:line="187" w:lineRule="auto"/>
        <w:ind w:left="2"/>
      </w:pPr>
      <w:r>
        <w:rPr>
          <w:color w:val="32373F"/>
          <w:spacing w:val="4"/>
        </w:rPr>
        <w:t>这与边角晶体宇宙线斜入射比例较高、等效穿越厚度分散性较大的物理预期一致。</w:t>
      </w:r>
    </w:p>
    <w:p w14:paraId="54B7C29F">
      <w:pPr>
        <w:spacing w:line="187" w:lineRule="auto"/>
        <w:sectPr>
          <w:pgSz w:w="11919" w:h="16858"/>
          <w:pgMar w:top="400" w:right="783" w:bottom="0" w:left="785" w:header="0" w:footer="0" w:gutter="0"/>
          <w:cols w:space="720" w:num="1"/>
        </w:sectPr>
      </w:pPr>
    </w:p>
    <w:p w14:paraId="1EDBCC4C">
      <w:pPr>
        <w:pStyle w:val="2"/>
        <w:spacing w:before="181" w:line="239" w:lineRule="auto"/>
        <w:ind w:left="2" w:right="74"/>
      </w:pPr>
      <w:r>
        <w:rPr>
          <w:color w:val="32373F"/>
          <w:spacing w:val="5"/>
        </w:rPr>
        <w:t xml:space="preserve">全部 </w:t>
      </w:r>
      <w:r>
        <w:rPr>
          <w:rFonts w:ascii="Arial" w:hAnsi="Arial" w:eastAsia="Arial" w:cs="Arial"/>
          <w:color w:val="32373F"/>
          <w:spacing w:val="5"/>
        </w:rPr>
        <w:t xml:space="preserve">25 </w:t>
      </w:r>
      <w:r>
        <w:rPr>
          <w:color w:val="32373F"/>
          <w:spacing w:val="5"/>
        </w:rPr>
        <w:t>个通道均能提取到有效的最小电离粒子峰位，拟合</w:t>
      </w:r>
      <w:r>
        <w:rPr>
          <w:color w:val="32373F"/>
          <w:spacing w:val="4"/>
        </w:rPr>
        <w:t>收敛正常，未发现信号异常消失或谱形严重畸</w:t>
      </w:r>
      <w:r>
        <w:rPr>
          <w:color w:val="32373F"/>
          <w:spacing w:val="-4"/>
        </w:rPr>
        <w:t>变的通道。</w:t>
      </w:r>
    </w:p>
    <w:p w14:paraId="67DA082B">
      <w:pPr>
        <w:pStyle w:val="2"/>
        <w:spacing w:before="294" w:line="187" w:lineRule="auto"/>
        <w:ind w:left="4"/>
        <w:outlineLvl w:val="3"/>
        <w:rPr>
          <w:rFonts w:ascii="Arial" w:hAnsi="Arial" w:eastAsia="Arial" w:cs="Arial"/>
        </w:rPr>
      </w:pPr>
      <w:r>
        <w:rPr>
          <w:rFonts w:ascii="Arial" w:hAnsi="Arial" w:eastAsia="Arial" w:cs="Arial"/>
          <w:b/>
          <w:bCs/>
          <w:color w:val="32373F"/>
          <w:spacing w:val="3"/>
        </w:rPr>
        <w:t xml:space="preserve">4.4.2 </w:t>
      </w:r>
      <w:r>
        <w:rPr>
          <w:b/>
          <w:bCs/>
          <w:color w:val="32373F"/>
          <w:spacing w:val="3"/>
        </w:rPr>
        <w:t>主份低增益</w:t>
      </w:r>
      <w:r>
        <w:rPr>
          <w:rFonts w:ascii="Arial" w:hAnsi="Arial" w:eastAsia="Arial" w:cs="Arial"/>
          <w:b/>
          <w:bCs/>
          <w:color w:val="32373F"/>
        </w:rPr>
        <w:t>ADC</w:t>
      </w:r>
    </w:p>
    <w:p w14:paraId="75DAB523">
      <w:pPr>
        <w:spacing w:before="153" w:line="10170" w:lineRule="exact"/>
      </w:pPr>
      <w:r>
        <w:rPr>
          <w:position w:val="-203"/>
        </w:rPr>
        <w:drawing>
          <wp:inline distT="0" distB="0" distL="0" distR="0">
            <wp:extent cx="6572250" cy="6457315"/>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49"/>
                    <a:stretch>
                      <a:fillRect/>
                    </a:stretch>
                  </pic:blipFill>
                  <pic:spPr>
                    <a:xfrm>
                      <a:off x="0" y="0"/>
                      <a:ext cx="6572250" cy="6457949"/>
                    </a:xfrm>
                    <a:prstGeom prst="rect">
                      <a:avLst/>
                    </a:prstGeom>
                  </pic:spPr>
                </pic:pic>
              </a:graphicData>
            </a:graphic>
          </wp:inline>
        </w:drawing>
      </w:r>
    </w:p>
    <w:p w14:paraId="23E86116">
      <w:pPr>
        <w:pStyle w:val="2"/>
        <w:spacing w:before="335"/>
        <w:ind w:left="3"/>
      </w:pPr>
      <w:r>
        <w:rPr>
          <w:color w:val="32373F"/>
          <w:spacing w:val="4"/>
        </w:rPr>
        <w:t>该图展示了高温保持阶段主份低增益读出链</w:t>
      </w:r>
      <w:r>
        <w:rPr>
          <w:color w:val="32373F"/>
          <w:spacing w:val="3"/>
        </w:rPr>
        <w:t xml:space="preserve">路 </w:t>
      </w:r>
      <w:r>
        <w:rPr>
          <w:rFonts w:ascii="Arial" w:hAnsi="Arial" w:eastAsia="Arial" w:cs="Arial"/>
          <w:color w:val="32373F"/>
          <w:spacing w:val="3"/>
        </w:rPr>
        <w:t xml:space="preserve">25 </w:t>
      </w:r>
      <w:r>
        <w:rPr>
          <w:color w:val="32373F"/>
          <w:spacing w:val="3"/>
        </w:rPr>
        <w:t xml:space="preserve">个晶体通道的宇宙线 </w:t>
      </w:r>
      <w:r>
        <w:rPr>
          <w:rFonts w:ascii="Arial" w:hAnsi="Arial" w:eastAsia="Arial" w:cs="Arial"/>
          <w:color w:val="32373F"/>
        </w:rPr>
        <w:t>ADC</w:t>
      </w:r>
      <w:r>
        <w:rPr>
          <w:rFonts w:ascii="Arial" w:hAnsi="Arial" w:eastAsia="Arial" w:cs="Arial"/>
          <w:color w:val="32373F"/>
          <w:spacing w:val="3"/>
        </w:rPr>
        <w:t xml:space="preserve"> </w:t>
      </w:r>
      <w:r>
        <w:rPr>
          <w:color w:val="32373F"/>
          <w:spacing w:val="3"/>
        </w:rPr>
        <w:t>谱分布。</w:t>
      </w:r>
    </w:p>
    <w:p w14:paraId="5DE08F4A">
      <w:pPr>
        <w:pStyle w:val="2"/>
        <w:spacing w:before="322" w:line="236" w:lineRule="auto"/>
        <w:ind w:left="5" w:right="74" w:firstLine="17"/>
      </w:pPr>
      <w:r>
        <w:rPr>
          <w:color w:val="32373F"/>
          <w:spacing w:val="5"/>
        </w:rPr>
        <w:t>由于低增益链路的放大倍数约为高增益的十分</w:t>
      </w:r>
      <w:r>
        <w:rPr>
          <w:color w:val="32373F"/>
          <w:spacing w:val="4"/>
        </w:rPr>
        <w:t xml:space="preserve">之一，最小电离粒子信号在低增益通道下的 </w:t>
      </w:r>
      <w:r>
        <w:rPr>
          <w:rFonts w:ascii="Arial" w:hAnsi="Arial" w:eastAsia="Arial" w:cs="Arial"/>
          <w:color w:val="32373F"/>
        </w:rPr>
        <w:t>ADC</w:t>
      </w:r>
      <w:r>
        <w:rPr>
          <w:rFonts w:ascii="Arial" w:hAnsi="Arial" w:eastAsia="Arial" w:cs="Arial"/>
          <w:color w:val="32373F"/>
          <w:spacing w:val="4"/>
        </w:rPr>
        <w:t xml:space="preserve"> </w:t>
      </w:r>
      <w:r>
        <w:rPr>
          <w:color w:val="32373F"/>
          <w:spacing w:val="4"/>
        </w:rPr>
        <w:t>响应幅度</w:t>
      </w:r>
      <w:r>
        <w:rPr>
          <w:color w:val="32373F"/>
          <w:spacing w:val="2"/>
        </w:rPr>
        <w:t xml:space="preserve">显著降低，峰位集中在约 </w:t>
      </w:r>
      <w:r>
        <w:rPr>
          <w:rFonts w:ascii="Arial" w:hAnsi="Arial" w:eastAsia="Arial" w:cs="Arial"/>
          <w:color w:val="32373F"/>
          <w:spacing w:val="2"/>
        </w:rPr>
        <w:t xml:space="preserve">300–690 </w:t>
      </w:r>
      <w:r>
        <w:rPr>
          <w:rFonts w:ascii="Arial" w:hAnsi="Arial" w:eastAsia="Arial" w:cs="Arial"/>
          <w:color w:val="32373F"/>
        </w:rPr>
        <w:t>ADC</w:t>
      </w:r>
      <w:r>
        <w:rPr>
          <w:rFonts w:ascii="Arial" w:hAnsi="Arial" w:eastAsia="Arial" w:cs="Arial"/>
          <w:color w:val="32373F"/>
          <w:spacing w:val="2"/>
        </w:rPr>
        <w:t xml:space="preserve"> </w:t>
      </w:r>
      <w:r>
        <w:rPr>
          <w:color w:val="32373F"/>
          <w:spacing w:val="2"/>
        </w:rPr>
        <w:t>之间。</w:t>
      </w:r>
    </w:p>
    <w:p w14:paraId="03540C37">
      <w:pPr>
        <w:pStyle w:val="2"/>
        <w:spacing w:before="281" w:line="186" w:lineRule="auto"/>
        <w:ind w:left="2"/>
      </w:pPr>
      <w:r>
        <w:rPr>
          <w:color w:val="32373F"/>
          <w:spacing w:val="3"/>
        </w:rPr>
        <w:t>从图中可以看出，低增益链路的宇宙线谱面临较大挑战：</w:t>
      </w:r>
    </w:p>
    <w:p w14:paraId="37A12819">
      <w:pPr>
        <w:pStyle w:val="2"/>
        <w:spacing w:before="324"/>
        <w:ind w:left="13"/>
      </w:pPr>
      <w:r>
        <w:rPr>
          <w:b/>
          <w:bCs/>
          <w:color w:val="32373F"/>
          <w:spacing w:val="2"/>
        </w:rPr>
        <w:t>中心区域晶体</w:t>
      </w:r>
      <w:r>
        <w:rPr>
          <w:color w:val="32373F"/>
          <w:spacing w:val="2"/>
        </w:rPr>
        <w:t>：在低增益下仍可观察到一定的峰形结构，</w:t>
      </w:r>
      <w:r>
        <w:rPr>
          <w:color w:val="32373F"/>
          <w:spacing w:val="1"/>
        </w:rPr>
        <w:t xml:space="preserve"> </w:t>
      </w:r>
      <w:r>
        <w:rPr>
          <w:rFonts w:ascii="Arial" w:hAnsi="Arial" w:eastAsia="Arial" w:cs="Arial"/>
          <w:color w:val="32373F"/>
        </w:rPr>
        <w:t>MPV</w:t>
      </w:r>
      <w:r>
        <w:rPr>
          <w:rFonts w:ascii="Arial" w:hAnsi="Arial" w:eastAsia="Arial" w:cs="Arial"/>
          <w:color w:val="32373F"/>
          <w:spacing w:val="2"/>
        </w:rPr>
        <w:t xml:space="preserve"> </w:t>
      </w:r>
      <w:r>
        <w:rPr>
          <w:color w:val="32373F"/>
          <w:spacing w:val="2"/>
        </w:rPr>
        <w:t xml:space="preserve">约在 </w:t>
      </w:r>
      <w:r>
        <w:rPr>
          <w:rFonts w:ascii="Arial" w:hAnsi="Arial" w:eastAsia="Arial" w:cs="Arial"/>
          <w:color w:val="32373F"/>
          <w:spacing w:val="2"/>
        </w:rPr>
        <w:t xml:space="preserve">578–687 </w:t>
      </w:r>
      <w:r>
        <w:rPr>
          <w:rFonts w:ascii="Arial" w:hAnsi="Arial" w:eastAsia="Arial" w:cs="Arial"/>
          <w:color w:val="32373F"/>
        </w:rPr>
        <w:t>ADC</w:t>
      </w:r>
      <w:r>
        <w:rPr>
          <w:rFonts w:ascii="Arial" w:hAnsi="Arial" w:eastAsia="Arial" w:cs="Arial"/>
          <w:color w:val="32373F"/>
          <w:spacing w:val="2"/>
        </w:rPr>
        <w:t xml:space="preserve"> </w:t>
      </w:r>
      <w:r>
        <w:rPr>
          <w:color w:val="32373F"/>
          <w:spacing w:val="2"/>
        </w:rPr>
        <w:t>之间，但峰形宽泛、</w:t>
      </w:r>
    </w:p>
    <w:p w14:paraId="4377FA21">
      <w:pPr>
        <w:pStyle w:val="2"/>
        <w:spacing w:before="25" w:line="239" w:lineRule="auto"/>
        <w:ind w:left="2"/>
      </w:pPr>
      <w:r>
        <w:rPr>
          <w:color w:val="32373F"/>
          <w:spacing w:val="5"/>
        </w:rPr>
        <w:t>统计量有限，拟合不确定度较大。低增益读出链路对宇宙线最小电离粒子信号的分辨能力有限，</w:t>
      </w:r>
      <w:r>
        <w:rPr>
          <w:color w:val="32373F"/>
          <w:spacing w:val="4"/>
        </w:rPr>
        <w:t>后续在轨</w:t>
      </w:r>
      <w:r>
        <w:rPr>
          <w:color w:val="32373F"/>
          <w:spacing w:val="3"/>
        </w:rPr>
        <w:t>刻度分析中应以高增益链路的最小电离粒子响应为主要参考依据。</w:t>
      </w:r>
    </w:p>
    <w:p w14:paraId="5C22F6D1">
      <w:pPr>
        <w:spacing w:line="239" w:lineRule="auto"/>
        <w:sectPr>
          <w:pgSz w:w="11919" w:h="16858"/>
          <w:pgMar w:top="400" w:right="783" w:bottom="0" w:left="785" w:header="0" w:footer="0" w:gutter="0"/>
          <w:cols w:space="720" w:num="1"/>
        </w:sectPr>
      </w:pPr>
    </w:p>
    <w:p w14:paraId="223B1D58">
      <w:pPr>
        <w:pStyle w:val="2"/>
        <w:spacing w:before="179" w:line="242" w:lineRule="auto"/>
        <w:ind w:left="2" w:firstLine="1"/>
      </w:pPr>
      <w:r>
        <w:rPr>
          <w:b/>
          <w:bCs/>
          <w:color w:val="32373F"/>
          <w:spacing w:val="5"/>
        </w:rPr>
        <w:t>边角区域晶体</w:t>
      </w:r>
      <w:r>
        <w:rPr>
          <w:color w:val="32373F"/>
          <w:spacing w:val="5"/>
        </w:rPr>
        <w:t xml:space="preserve">： </w:t>
      </w:r>
      <w:r>
        <w:rPr>
          <w:rFonts w:ascii="Arial" w:hAnsi="Arial" w:eastAsia="Arial" w:cs="Arial"/>
          <w:color w:val="32373F"/>
        </w:rPr>
        <w:t>MPV</w:t>
      </w:r>
      <w:r>
        <w:rPr>
          <w:rFonts w:ascii="Arial" w:hAnsi="Arial" w:eastAsia="Arial" w:cs="Arial"/>
          <w:color w:val="32373F"/>
          <w:spacing w:val="5"/>
        </w:rPr>
        <w:t xml:space="preserve"> </w:t>
      </w:r>
      <w:r>
        <w:rPr>
          <w:color w:val="32373F"/>
          <w:spacing w:val="5"/>
        </w:rPr>
        <w:t xml:space="preserve">拟合值均落在约 </w:t>
      </w:r>
      <w:r>
        <w:rPr>
          <w:rFonts w:ascii="Arial" w:hAnsi="Arial" w:eastAsia="Arial" w:cs="Arial"/>
          <w:color w:val="32373F"/>
          <w:spacing w:val="5"/>
        </w:rPr>
        <w:t xml:space="preserve">300 </w:t>
      </w:r>
      <w:r>
        <w:rPr>
          <w:rFonts w:ascii="Arial" w:hAnsi="Arial" w:eastAsia="Arial" w:cs="Arial"/>
          <w:color w:val="32373F"/>
        </w:rPr>
        <w:t>ADC</w:t>
      </w:r>
      <w:r>
        <w:rPr>
          <w:rFonts w:ascii="Arial" w:hAnsi="Arial" w:eastAsia="Arial" w:cs="Arial"/>
          <w:color w:val="32373F"/>
          <w:spacing w:val="5"/>
        </w:rPr>
        <w:t xml:space="preserve"> </w:t>
      </w:r>
      <w:r>
        <w:rPr>
          <w:color w:val="32373F"/>
          <w:spacing w:val="5"/>
        </w:rPr>
        <w:t>附近的下限位置</w:t>
      </w:r>
      <w:r>
        <w:rPr>
          <w:color w:val="32373F"/>
          <w:spacing w:val="4"/>
        </w:rPr>
        <w:t>，谱形表现为单调递减的指数形态，缺</w:t>
      </w:r>
      <w:r>
        <w:rPr>
          <w:color w:val="32373F"/>
          <w:spacing w:val="5"/>
        </w:rPr>
        <w:t>乏明显的最小电离粒子特征峰，表明低增益通道下宇宙线信号幅度与台基噪声的分离程度不足，</w:t>
      </w:r>
      <w:r>
        <w:rPr>
          <w:color w:val="32373F"/>
          <w:spacing w:val="4"/>
        </w:rPr>
        <w:t>有效峰位</w:t>
      </w:r>
      <w:r>
        <w:rPr>
          <w:color w:val="32373F"/>
          <w:spacing w:val="-2"/>
        </w:rPr>
        <w:t>难以可靠提取。</w:t>
      </w:r>
    </w:p>
    <w:p w14:paraId="50D2DFD6">
      <w:pPr>
        <w:pStyle w:val="2"/>
        <w:spacing w:before="266" w:line="187" w:lineRule="auto"/>
        <w:ind w:left="4"/>
        <w:outlineLvl w:val="3"/>
        <w:rPr>
          <w:rFonts w:ascii="Arial" w:hAnsi="Arial" w:eastAsia="Arial" w:cs="Arial"/>
        </w:rPr>
      </w:pPr>
      <w:r>
        <w:rPr>
          <w:rFonts w:ascii="Arial" w:hAnsi="Arial" w:eastAsia="Arial" w:cs="Arial"/>
          <w:b/>
          <w:bCs/>
          <w:color w:val="32373F"/>
          <w:spacing w:val="3"/>
        </w:rPr>
        <w:t xml:space="preserve">4.4.3 </w:t>
      </w:r>
      <w:r>
        <w:rPr>
          <w:b/>
          <w:bCs/>
          <w:color w:val="32373F"/>
          <w:spacing w:val="3"/>
        </w:rPr>
        <w:t>备份高增益</w:t>
      </w:r>
      <w:r>
        <w:rPr>
          <w:rFonts w:ascii="Arial" w:hAnsi="Arial" w:eastAsia="Arial" w:cs="Arial"/>
          <w:b/>
          <w:bCs/>
          <w:color w:val="32373F"/>
        </w:rPr>
        <w:t>ADC</w:t>
      </w:r>
    </w:p>
    <w:p w14:paraId="6AAABDC9">
      <w:pPr>
        <w:spacing w:before="153" w:line="10170" w:lineRule="exact"/>
      </w:pPr>
      <w:r>
        <w:rPr>
          <w:position w:val="-203"/>
        </w:rPr>
        <w:drawing>
          <wp:inline distT="0" distB="0" distL="0" distR="0">
            <wp:extent cx="6572250" cy="6457315"/>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50"/>
                    <a:stretch>
                      <a:fillRect/>
                    </a:stretch>
                  </pic:blipFill>
                  <pic:spPr>
                    <a:xfrm>
                      <a:off x="0" y="0"/>
                      <a:ext cx="6572250" cy="6457949"/>
                    </a:xfrm>
                    <a:prstGeom prst="rect">
                      <a:avLst/>
                    </a:prstGeom>
                  </pic:spPr>
                </pic:pic>
              </a:graphicData>
            </a:graphic>
          </wp:inline>
        </w:drawing>
      </w:r>
    </w:p>
    <w:p w14:paraId="3C961B06">
      <w:pPr>
        <w:pStyle w:val="2"/>
        <w:spacing w:before="335" w:line="239" w:lineRule="auto"/>
        <w:ind w:left="5" w:right="149" w:hanging="2"/>
      </w:pPr>
      <w:r>
        <w:rPr>
          <w:color w:val="32373F"/>
          <w:spacing w:val="5"/>
        </w:rPr>
        <w:t xml:space="preserve">该图展示了高温保持阶段备份高增益读出链路 </w:t>
      </w:r>
      <w:r>
        <w:rPr>
          <w:rFonts w:ascii="Arial" w:hAnsi="Arial" w:eastAsia="Arial" w:cs="Arial"/>
          <w:color w:val="32373F"/>
          <w:spacing w:val="5"/>
        </w:rPr>
        <w:t xml:space="preserve">25 </w:t>
      </w:r>
      <w:r>
        <w:rPr>
          <w:color w:val="32373F"/>
          <w:spacing w:val="5"/>
        </w:rPr>
        <w:t>个晶</w:t>
      </w:r>
      <w:r>
        <w:rPr>
          <w:color w:val="32373F"/>
          <w:spacing w:val="4"/>
        </w:rPr>
        <w:t xml:space="preserve">体通道的宇宙线 </w:t>
      </w:r>
      <w:r>
        <w:rPr>
          <w:rFonts w:ascii="Arial" w:hAnsi="Arial" w:eastAsia="Arial" w:cs="Arial"/>
          <w:color w:val="32373F"/>
        </w:rPr>
        <w:t>ADC</w:t>
      </w:r>
      <w:r>
        <w:rPr>
          <w:rFonts w:ascii="Arial" w:hAnsi="Arial" w:eastAsia="Arial" w:cs="Arial"/>
          <w:color w:val="32373F"/>
          <w:spacing w:val="4"/>
        </w:rPr>
        <w:t xml:space="preserve"> </w:t>
      </w:r>
      <w:r>
        <w:rPr>
          <w:color w:val="32373F"/>
          <w:spacing w:val="4"/>
        </w:rPr>
        <w:t>谱分布。各通道谱形特征与主份高增益链路高度一致，同样呈现出中心晶体峰形清晰、边角晶体低能</w:t>
      </w:r>
      <w:r>
        <w:rPr>
          <w:color w:val="32373F"/>
          <w:spacing w:val="3"/>
        </w:rPr>
        <w:t>拖尾较重的分布规律。</w:t>
      </w:r>
    </w:p>
    <w:p w14:paraId="1F6117E6">
      <w:pPr>
        <w:pStyle w:val="2"/>
        <w:spacing w:before="270" w:line="238" w:lineRule="auto"/>
        <w:ind w:right="647" w:firstLine="13"/>
      </w:pPr>
      <w:r>
        <w:rPr>
          <w:b/>
          <w:bCs/>
          <w:color w:val="32373F"/>
          <w:spacing w:val="4"/>
        </w:rPr>
        <w:t>中心区域晶体</w:t>
      </w:r>
      <w:r>
        <w:rPr>
          <w:color w:val="32373F"/>
          <w:spacing w:val="4"/>
        </w:rPr>
        <w:t>：</w:t>
      </w:r>
      <w:r>
        <w:rPr>
          <w:color w:val="32373F"/>
          <w:spacing w:val="-45"/>
        </w:rPr>
        <w:t xml:space="preserve"> </w:t>
      </w:r>
      <w:r>
        <w:rPr>
          <w:rFonts w:ascii="Arial" w:hAnsi="Arial" w:eastAsia="Arial" w:cs="Arial"/>
          <w:color w:val="32373F"/>
        </w:rPr>
        <w:t>MPV</w:t>
      </w:r>
      <w:r>
        <w:rPr>
          <w:color w:val="32373F"/>
          <w:spacing w:val="4"/>
        </w:rPr>
        <w:t xml:space="preserve">分布在约 </w:t>
      </w:r>
      <w:r>
        <w:rPr>
          <w:rFonts w:ascii="Arial" w:hAnsi="Arial" w:eastAsia="Arial" w:cs="Arial"/>
          <w:color w:val="32373F"/>
          <w:spacing w:val="4"/>
        </w:rPr>
        <w:t xml:space="preserve">5970–6720 </w:t>
      </w:r>
      <w:r>
        <w:rPr>
          <w:rFonts w:ascii="Arial" w:hAnsi="Arial" w:eastAsia="Arial" w:cs="Arial"/>
          <w:color w:val="32373F"/>
        </w:rPr>
        <w:t>ADC</w:t>
      </w:r>
      <w:r>
        <w:rPr>
          <w:rFonts w:ascii="Arial" w:hAnsi="Arial" w:eastAsia="Arial" w:cs="Arial"/>
          <w:color w:val="32373F"/>
          <w:spacing w:val="4"/>
        </w:rPr>
        <w:t xml:space="preserve"> </w:t>
      </w:r>
      <w:r>
        <w:rPr>
          <w:color w:val="32373F"/>
          <w:spacing w:val="4"/>
        </w:rPr>
        <w:t>之间，与主份</w:t>
      </w:r>
      <w:r>
        <w:rPr>
          <w:color w:val="32373F"/>
          <w:spacing w:val="3"/>
        </w:rPr>
        <w:t>高增益链路的对应峰位（</w:t>
      </w:r>
      <w:r>
        <w:rPr>
          <w:rFonts w:ascii="Arial" w:hAnsi="Arial" w:eastAsia="Arial" w:cs="Arial"/>
          <w:color w:val="32373F"/>
          <w:spacing w:val="3"/>
        </w:rPr>
        <w:t>5800–6850</w:t>
      </w:r>
      <w:r>
        <w:rPr>
          <w:rFonts w:ascii="Arial" w:hAnsi="Arial" w:eastAsia="Arial" w:cs="Arial"/>
          <w:color w:val="32373F"/>
        </w:rPr>
        <w:t xml:space="preserve"> ADC</w:t>
      </w:r>
      <w:r>
        <w:rPr>
          <w:color w:val="32373F"/>
          <w:spacing w:val="3"/>
        </w:rPr>
        <w:t>）基本吻合，主备份两端响应一致性良好。</w:t>
      </w:r>
    </w:p>
    <w:p w14:paraId="1EC60447">
      <w:pPr>
        <w:pStyle w:val="2"/>
        <w:spacing w:before="269" w:line="235" w:lineRule="auto"/>
        <w:ind w:left="3" w:right="10"/>
      </w:pPr>
      <w:r>
        <w:rPr>
          <w:b/>
          <w:bCs/>
          <w:color w:val="32373F"/>
          <w:spacing w:val="5"/>
        </w:rPr>
        <w:t>边角区域晶体</w:t>
      </w:r>
      <w:r>
        <w:rPr>
          <w:color w:val="32373F"/>
          <w:spacing w:val="5"/>
        </w:rPr>
        <w:t xml:space="preserve">：峰位约在 </w:t>
      </w:r>
      <w:r>
        <w:rPr>
          <w:rFonts w:ascii="Arial" w:hAnsi="Arial" w:eastAsia="Arial" w:cs="Arial"/>
          <w:color w:val="32373F"/>
          <w:spacing w:val="5"/>
        </w:rPr>
        <w:t xml:space="preserve">4000–5340 </w:t>
      </w:r>
      <w:r>
        <w:rPr>
          <w:rFonts w:ascii="Arial" w:hAnsi="Arial" w:eastAsia="Arial" w:cs="Arial"/>
          <w:color w:val="32373F"/>
        </w:rPr>
        <w:t>ADC</w:t>
      </w:r>
      <w:r>
        <w:rPr>
          <w:rFonts w:ascii="Arial" w:hAnsi="Arial" w:eastAsia="Arial" w:cs="Arial"/>
          <w:color w:val="32373F"/>
          <w:spacing w:val="5"/>
        </w:rPr>
        <w:t xml:space="preserve"> </w:t>
      </w:r>
      <w:r>
        <w:rPr>
          <w:color w:val="32373F"/>
          <w:spacing w:val="5"/>
        </w:rPr>
        <w:t>之间，有效统计量约为</w:t>
      </w:r>
      <w:r>
        <w:rPr>
          <w:rFonts w:ascii="Arial" w:hAnsi="Arial" w:eastAsia="Arial" w:cs="Arial"/>
          <w:color w:val="32373F"/>
          <w:spacing w:val="5"/>
        </w:rPr>
        <w:t xml:space="preserve">330–3075 </w:t>
      </w:r>
      <w:r>
        <w:rPr>
          <w:color w:val="32373F"/>
          <w:spacing w:val="5"/>
        </w:rPr>
        <w:t>个，与主份高增益链路的分</w:t>
      </w:r>
      <w:r>
        <w:rPr>
          <w:color w:val="32373F"/>
          <w:spacing w:val="4"/>
        </w:rPr>
        <w:t xml:space="preserve">布规律相符。全部 </w:t>
      </w:r>
      <w:r>
        <w:rPr>
          <w:rFonts w:ascii="Arial" w:hAnsi="Arial" w:eastAsia="Arial" w:cs="Arial"/>
          <w:color w:val="32373F"/>
          <w:spacing w:val="4"/>
        </w:rPr>
        <w:t xml:space="preserve">25 </w:t>
      </w:r>
      <w:r>
        <w:rPr>
          <w:color w:val="32373F"/>
          <w:spacing w:val="4"/>
        </w:rPr>
        <w:t>个通道拟合收敛正常，未发现异常通道，</w:t>
      </w:r>
      <w:r>
        <w:rPr>
          <w:color w:val="32373F"/>
          <w:spacing w:val="3"/>
        </w:rPr>
        <w:t>备份高增益链路的宇宙线响应满足预期。</w:t>
      </w:r>
    </w:p>
    <w:p w14:paraId="1B81ED6E">
      <w:pPr>
        <w:spacing w:line="235" w:lineRule="auto"/>
        <w:sectPr>
          <w:pgSz w:w="11919" w:h="16858"/>
          <w:pgMar w:top="400" w:right="783" w:bottom="0" w:left="785" w:header="0" w:footer="0" w:gutter="0"/>
          <w:cols w:space="720" w:num="1"/>
        </w:sectPr>
      </w:pPr>
    </w:p>
    <w:p w14:paraId="445822CC">
      <w:pPr>
        <w:pStyle w:val="2"/>
        <w:spacing w:before="208" w:line="186" w:lineRule="auto"/>
        <w:ind w:left="4"/>
        <w:outlineLvl w:val="3"/>
        <w:rPr>
          <w:rFonts w:ascii="Arial" w:hAnsi="Arial" w:eastAsia="Arial" w:cs="Arial"/>
        </w:rPr>
      </w:pPr>
      <w:r>
        <w:rPr>
          <w:rFonts w:ascii="Arial" w:hAnsi="Arial" w:eastAsia="Arial" w:cs="Arial"/>
          <w:b/>
          <w:bCs/>
          <w:color w:val="32373F"/>
          <w:spacing w:val="3"/>
        </w:rPr>
        <w:t xml:space="preserve">4.4.4 </w:t>
      </w:r>
      <w:r>
        <w:rPr>
          <w:b/>
          <w:bCs/>
          <w:color w:val="32373F"/>
          <w:spacing w:val="3"/>
        </w:rPr>
        <w:t>备份低增益</w:t>
      </w:r>
      <w:r>
        <w:rPr>
          <w:rFonts w:ascii="Arial" w:hAnsi="Arial" w:eastAsia="Arial" w:cs="Arial"/>
          <w:b/>
          <w:bCs/>
          <w:color w:val="32373F"/>
        </w:rPr>
        <w:t>ADC</w:t>
      </w:r>
    </w:p>
    <w:p w14:paraId="05DFF3AA">
      <w:pPr>
        <w:spacing w:before="138" w:line="10185" w:lineRule="exact"/>
      </w:pPr>
      <w:r>
        <w:rPr>
          <w:position w:val="-203"/>
        </w:rPr>
        <w:drawing>
          <wp:inline distT="0" distB="0" distL="0" distR="0">
            <wp:extent cx="6572250" cy="6467475"/>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51"/>
                    <a:stretch>
                      <a:fillRect/>
                    </a:stretch>
                  </pic:blipFill>
                  <pic:spPr>
                    <a:xfrm>
                      <a:off x="0" y="0"/>
                      <a:ext cx="6572250" cy="6467475"/>
                    </a:xfrm>
                    <a:prstGeom prst="rect">
                      <a:avLst/>
                    </a:prstGeom>
                  </pic:spPr>
                </pic:pic>
              </a:graphicData>
            </a:graphic>
          </wp:inline>
        </w:drawing>
      </w:r>
    </w:p>
    <w:p w14:paraId="66A2D547">
      <w:pPr>
        <w:pStyle w:val="2"/>
        <w:spacing w:before="320"/>
        <w:ind w:left="3"/>
      </w:pPr>
      <w:r>
        <w:rPr>
          <w:color w:val="32373F"/>
          <w:spacing w:val="4"/>
        </w:rPr>
        <w:t>该图展示了高温保持阶段备份低增益读出链</w:t>
      </w:r>
      <w:r>
        <w:rPr>
          <w:color w:val="32373F"/>
          <w:spacing w:val="3"/>
        </w:rPr>
        <w:t xml:space="preserve">路 </w:t>
      </w:r>
      <w:r>
        <w:rPr>
          <w:rFonts w:ascii="Arial" w:hAnsi="Arial" w:eastAsia="Arial" w:cs="Arial"/>
          <w:color w:val="32373F"/>
          <w:spacing w:val="3"/>
        </w:rPr>
        <w:t xml:space="preserve">25 </w:t>
      </w:r>
      <w:r>
        <w:rPr>
          <w:color w:val="32373F"/>
          <w:spacing w:val="3"/>
        </w:rPr>
        <w:t xml:space="preserve">个晶体通道的宇宙线 </w:t>
      </w:r>
      <w:r>
        <w:rPr>
          <w:rFonts w:ascii="Arial" w:hAnsi="Arial" w:eastAsia="Arial" w:cs="Arial"/>
          <w:color w:val="32373F"/>
        </w:rPr>
        <w:t>ADC</w:t>
      </w:r>
      <w:r>
        <w:rPr>
          <w:rFonts w:ascii="Arial" w:hAnsi="Arial" w:eastAsia="Arial" w:cs="Arial"/>
          <w:color w:val="32373F"/>
          <w:spacing w:val="3"/>
        </w:rPr>
        <w:t xml:space="preserve"> </w:t>
      </w:r>
      <w:r>
        <w:rPr>
          <w:color w:val="32373F"/>
          <w:spacing w:val="3"/>
        </w:rPr>
        <w:t>谱分布。</w:t>
      </w:r>
    </w:p>
    <w:p w14:paraId="18D467C7">
      <w:pPr>
        <w:pStyle w:val="2"/>
        <w:spacing w:before="297" w:line="239" w:lineRule="auto"/>
        <w:ind w:left="4" w:right="161" w:firstLine="9"/>
      </w:pPr>
      <w:r>
        <w:rPr>
          <w:b/>
          <w:bCs/>
          <w:color w:val="32373F"/>
          <w:spacing w:val="3"/>
        </w:rPr>
        <w:t>中心区域晶体</w:t>
      </w:r>
      <w:r>
        <w:rPr>
          <w:color w:val="32373F"/>
          <w:spacing w:val="3"/>
        </w:rPr>
        <w:t>：在备份低增益下可观察到一定的峰形结构，</w:t>
      </w:r>
      <w:r>
        <w:rPr>
          <w:color w:val="32373F"/>
          <w:spacing w:val="1"/>
        </w:rPr>
        <w:t xml:space="preserve"> </w:t>
      </w:r>
      <w:r>
        <w:rPr>
          <w:rFonts w:ascii="Arial" w:hAnsi="Arial" w:eastAsia="Arial" w:cs="Arial"/>
          <w:color w:val="32373F"/>
        </w:rPr>
        <w:t>MPV</w:t>
      </w:r>
      <w:r>
        <w:rPr>
          <w:rFonts w:ascii="Arial" w:hAnsi="Arial" w:eastAsia="Arial" w:cs="Arial"/>
          <w:color w:val="32373F"/>
          <w:spacing w:val="3"/>
        </w:rPr>
        <w:t xml:space="preserve"> </w:t>
      </w:r>
      <w:r>
        <w:rPr>
          <w:color w:val="32373F"/>
          <w:spacing w:val="3"/>
        </w:rPr>
        <w:t xml:space="preserve">约在 </w:t>
      </w:r>
      <w:r>
        <w:rPr>
          <w:rFonts w:ascii="Arial" w:hAnsi="Arial" w:eastAsia="Arial" w:cs="Arial"/>
          <w:color w:val="32373F"/>
          <w:spacing w:val="3"/>
        </w:rPr>
        <w:t xml:space="preserve">598–675 </w:t>
      </w:r>
      <w:r>
        <w:rPr>
          <w:rFonts w:ascii="Arial" w:hAnsi="Arial" w:eastAsia="Arial" w:cs="Arial"/>
          <w:color w:val="32373F"/>
        </w:rPr>
        <w:t>ADC</w:t>
      </w:r>
      <w:r>
        <w:rPr>
          <w:rFonts w:ascii="Arial" w:hAnsi="Arial" w:eastAsia="Arial" w:cs="Arial"/>
          <w:color w:val="32373F"/>
          <w:spacing w:val="3"/>
        </w:rPr>
        <w:t xml:space="preserve"> </w:t>
      </w:r>
      <w:r>
        <w:rPr>
          <w:color w:val="32373F"/>
          <w:spacing w:val="3"/>
        </w:rPr>
        <w:t>之间，与主份低增益链路的对应峰位基本一致，主备份两端低增益响应匹配良好。</w:t>
      </w:r>
    </w:p>
    <w:p w14:paraId="2E8A325C">
      <w:pPr>
        <w:pStyle w:val="2"/>
        <w:spacing w:before="269" w:line="239" w:lineRule="auto"/>
        <w:ind w:left="3" w:right="87"/>
      </w:pPr>
      <w:r>
        <w:rPr>
          <w:b/>
          <w:bCs/>
          <w:color w:val="32373F"/>
          <w:spacing w:val="4"/>
        </w:rPr>
        <w:t>边角区域晶体</w:t>
      </w:r>
      <w:r>
        <w:rPr>
          <w:color w:val="32373F"/>
          <w:spacing w:val="4"/>
        </w:rPr>
        <w:t>：与主份低增益链路的情况完全类似，拟合峰位均落在约</w:t>
      </w:r>
      <w:r>
        <w:rPr>
          <w:color w:val="32373F"/>
          <w:spacing w:val="35"/>
        </w:rPr>
        <w:t xml:space="preserve"> </w:t>
      </w:r>
      <w:r>
        <w:rPr>
          <w:rFonts w:ascii="Arial" w:hAnsi="Arial" w:eastAsia="Arial" w:cs="Arial"/>
          <w:color w:val="32373F"/>
          <w:spacing w:val="4"/>
        </w:rPr>
        <w:t xml:space="preserve">300 </w:t>
      </w:r>
      <w:r>
        <w:rPr>
          <w:rFonts w:ascii="Arial" w:hAnsi="Arial" w:eastAsia="Arial" w:cs="Arial"/>
          <w:color w:val="32373F"/>
        </w:rPr>
        <w:t>ADC</w:t>
      </w:r>
      <w:r>
        <w:rPr>
          <w:rFonts w:ascii="Arial" w:hAnsi="Arial" w:eastAsia="Arial" w:cs="Arial"/>
          <w:color w:val="32373F"/>
          <w:spacing w:val="4"/>
        </w:rPr>
        <w:t xml:space="preserve"> </w:t>
      </w:r>
      <w:r>
        <w:rPr>
          <w:color w:val="32373F"/>
          <w:spacing w:val="4"/>
        </w:rPr>
        <w:t>的下限处，谱形呈单调</w:t>
      </w:r>
      <w:r>
        <w:rPr>
          <w:color w:val="32373F"/>
          <w:spacing w:val="2"/>
        </w:rPr>
        <w:t>递减态，无法有效提取最小电离粒子峰位。</w:t>
      </w:r>
    </w:p>
    <w:p w14:paraId="5E604D11">
      <w:pPr>
        <w:pStyle w:val="2"/>
        <w:spacing w:before="308"/>
        <w:ind w:left="2" w:right="225"/>
      </w:pPr>
      <w:r>
        <w:rPr>
          <w:color w:val="32373F"/>
          <w:spacing w:val="5"/>
        </w:rPr>
        <w:t>总体而言，备份低增益链路对宇宙线最小电离粒子信号的分辨能力同样受限，结论与主份低增</w:t>
      </w:r>
      <w:r>
        <w:rPr>
          <w:color w:val="32373F"/>
          <w:spacing w:val="4"/>
        </w:rPr>
        <w:t>益链路一</w:t>
      </w:r>
      <w:r>
        <w:rPr>
          <w:color w:val="32373F"/>
          <w:spacing w:val="-10"/>
        </w:rPr>
        <w:t>致。</w:t>
      </w:r>
    </w:p>
    <w:p w14:paraId="5BED226D">
      <w:pPr>
        <w:pStyle w:val="2"/>
        <w:spacing w:before="251" w:line="187" w:lineRule="auto"/>
        <w:ind w:left="4"/>
        <w:outlineLvl w:val="3"/>
      </w:pPr>
      <w:r>
        <w:rPr>
          <w:rFonts w:ascii="Arial" w:hAnsi="Arial" w:eastAsia="Arial" w:cs="Arial"/>
          <w:b/>
          <w:bCs/>
          <w:color w:val="32373F"/>
          <w:spacing w:val="4"/>
        </w:rPr>
        <w:t xml:space="preserve">4.4.5 </w:t>
      </w:r>
      <w:r>
        <w:rPr>
          <w:b/>
          <w:bCs/>
          <w:color w:val="32373F"/>
          <w:spacing w:val="4"/>
        </w:rPr>
        <w:t>高增益</w:t>
      </w:r>
      <w:r>
        <w:rPr>
          <w:rFonts w:ascii="Arial" w:hAnsi="Arial" w:eastAsia="Arial" w:cs="Arial"/>
          <w:b/>
          <w:bCs/>
          <w:color w:val="32373F"/>
        </w:rPr>
        <w:t>MPV</w:t>
      </w:r>
      <w:r>
        <w:rPr>
          <w:b/>
          <w:bCs/>
          <w:color w:val="32373F"/>
          <w:spacing w:val="4"/>
        </w:rPr>
        <w:t>拟合值的时间稳定性</w:t>
      </w:r>
    </w:p>
    <w:p w14:paraId="7484AE4D">
      <w:pPr>
        <w:spacing w:line="187" w:lineRule="auto"/>
        <w:sectPr>
          <w:pgSz w:w="11919" w:h="16858"/>
          <w:pgMar w:top="400" w:right="783" w:bottom="0" w:left="785" w:header="0" w:footer="0" w:gutter="0"/>
          <w:cols w:space="720" w:num="1"/>
        </w:sectPr>
      </w:pPr>
    </w:p>
    <w:p w14:paraId="3D220D8F">
      <w:pPr>
        <w:pStyle w:val="2"/>
        <w:spacing w:before="180" w:line="239" w:lineRule="auto"/>
        <w:ind w:left="3" w:right="198" w:firstLine="2"/>
      </w:pPr>
      <w:r>
        <w:rPr>
          <w:color w:val="32373F"/>
          <w:spacing w:val="2"/>
        </w:rPr>
        <w:t xml:space="preserve">下图分别展示了 </w:t>
      </w:r>
      <w:r>
        <w:rPr>
          <w:rFonts w:ascii="Arial" w:hAnsi="Arial" w:eastAsia="Arial" w:cs="Arial"/>
          <w:color w:val="32373F"/>
          <w:spacing w:val="2"/>
        </w:rPr>
        <w:t xml:space="preserve">3 </w:t>
      </w:r>
      <w:r>
        <w:rPr>
          <w:color w:val="32373F"/>
          <w:spacing w:val="2"/>
        </w:rPr>
        <w:t>月</w:t>
      </w:r>
      <w:r>
        <w:rPr>
          <w:color w:val="32373F"/>
          <w:spacing w:val="29"/>
        </w:rPr>
        <w:t xml:space="preserve"> </w:t>
      </w:r>
      <w:r>
        <w:rPr>
          <w:rFonts w:ascii="Arial" w:hAnsi="Arial" w:eastAsia="Arial" w:cs="Arial"/>
          <w:color w:val="32373F"/>
          <w:spacing w:val="2"/>
        </w:rPr>
        <w:t>16</w:t>
      </w:r>
      <w:r>
        <w:rPr>
          <w:rFonts w:ascii="Arial" w:hAnsi="Arial" w:eastAsia="Arial" w:cs="Arial"/>
          <w:color w:val="32373F"/>
          <w:spacing w:val="36"/>
        </w:rPr>
        <w:t xml:space="preserve"> </w:t>
      </w:r>
      <w:r>
        <w:rPr>
          <w:color w:val="32373F"/>
          <w:spacing w:val="2"/>
        </w:rPr>
        <w:t xml:space="preserve">日至 </w:t>
      </w:r>
      <w:r>
        <w:rPr>
          <w:rFonts w:ascii="Arial" w:hAnsi="Arial" w:eastAsia="Arial" w:cs="Arial"/>
          <w:color w:val="32373F"/>
          <w:spacing w:val="2"/>
        </w:rPr>
        <w:t>23</w:t>
      </w:r>
      <w:r>
        <w:rPr>
          <w:rFonts w:ascii="Arial" w:hAnsi="Arial" w:eastAsia="Arial" w:cs="Arial"/>
          <w:color w:val="32373F"/>
          <w:spacing w:val="36"/>
        </w:rPr>
        <w:t xml:space="preserve"> </w:t>
      </w:r>
      <w:r>
        <w:rPr>
          <w:color w:val="32373F"/>
          <w:spacing w:val="2"/>
        </w:rPr>
        <w:t xml:space="preserve">日热循环全程主份高增益与备份高增益读出链路 </w:t>
      </w:r>
      <w:r>
        <w:rPr>
          <w:rFonts w:ascii="Arial" w:hAnsi="Arial" w:eastAsia="Arial" w:cs="Arial"/>
          <w:color w:val="32373F"/>
          <w:spacing w:val="2"/>
        </w:rPr>
        <w:t xml:space="preserve">25 </w:t>
      </w:r>
      <w:r>
        <w:rPr>
          <w:color w:val="32373F"/>
          <w:spacing w:val="2"/>
        </w:rPr>
        <w:t>个晶体通道宇宙线</w:t>
      </w:r>
      <w:r>
        <w:rPr>
          <w:color w:val="32373F"/>
          <w:spacing w:val="1"/>
        </w:rPr>
        <w:t>最可几能量损失峰位随时间的演化。</w:t>
      </w:r>
    </w:p>
    <w:p w14:paraId="364CA155">
      <w:pPr>
        <w:spacing w:line="246" w:lineRule="auto"/>
        <w:rPr>
          <w:rFonts w:ascii="Arial"/>
          <w:sz w:val="21"/>
        </w:rPr>
      </w:pPr>
    </w:p>
    <w:p w14:paraId="441F4AF4">
      <w:pPr>
        <w:spacing w:line="8865" w:lineRule="exact"/>
      </w:pPr>
      <w:r>
        <w:rPr>
          <w:position w:val="-177"/>
        </w:rPr>
        <w:drawing>
          <wp:inline distT="0" distB="0" distL="0" distR="0">
            <wp:extent cx="6572250" cy="5629275"/>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52"/>
                    <a:stretch>
                      <a:fillRect/>
                    </a:stretch>
                  </pic:blipFill>
                  <pic:spPr>
                    <a:xfrm>
                      <a:off x="0" y="0"/>
                      <a:ext cx="6572250" cy="5629275"/>
                    </a:xfrm>
                    <a:prstGeom prst="rect">
                      <a:avLst/>
                    </a:prstGeom>
                  </pic:spPr>
                </pic:pic>
              </a:graphicData>
            </a:graphic>
          </wp:inline>
        </w:drawing>
      </w:r>
    </w:p>
    <w:p w14:paraId="538C7287">
      <w:pPr>
        <w:spacing w:line="8865" w:lineRule="exact"/>
        <w:sectPr>
          <w:pgSz w:w="11919" w:h="16858"/>
          <w:pgMar w:top="400" w:right="783" w:bottom="0" w:left="785" w:header="0" w:footer="0" w:gutter="0"/>
          <w:cols w:space="720" w:num="1"/>
        </w:sectPr>
      </w:pPr>
    </w:p>
    <w:p w14:paraId="7E4E956C">
      <w:pPr>
        <w:spacing w:before="160" w:line="8864" w:lineRule="exact"/>
      </w:pPr>
      <w:r>
        <w:rPr>
          <w:position w:val="-177"/>
        </w:rPr>
        <w:drawing>
          <wp:inline distT="0" distB="0" distL="0" distR="0">
            <wp:extent cx="6572250" cy="5628640"/>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53"/>
                    <a:stretch>
                      <a:fillRect/>
                    </a:stretch>
                  </pic:blipFill>
                  <pic:spPr>
                    <a:xfrm>
                      <a:off x="0" y="0"/>
                      <a:ext cx="6572250" cy="5629267"/>
                    </a:xfrm>
                    <a:prstGeom prst="rect">
                      <a:avLst/>
                    </a:prstGeom>
                  </pic:spPr>
                </pic:pic>
              </a:graphicData>
            </a:graphic>
          </wp:inline>
        </w:drawing>
      </w:r>
    </w:p>
    <w:p w14:paraId="6595F376">
      <w:pPr>
        <w:spacing w:line="268" w:lineRule="auto"/>
        <w:rPr>
          <w:rFonts w:ascii="Arial"/>
          <w:sz w:val="21"/>
        </w:rPr>
      </w:pPr>
    </w:p>
    <w:p w14:paraId="06F6ADE2">
      <w:pPr>
        <w:pStyle w:val="2"/>
        <w:spacing w:before="94" w:line="186" w:lineRule="auto"/>
        <w:ind w:left="1"/>
      </w:pPr>
      <w:r>
        <w:rPr>
          <w:color w:val="32373F"/>
          <w:spacing w:val="3"/>
        </w:rPr>
        <w:t>各晶体通道的峰位时间演化呈现出两类截然不同的行为模式：</w:t>
      </w:r>
    </w:p>
    <w:p w14:paraId="3F898EB3">
      <w:pPr>
        <w:pStyle w:val="2"/>
        <w:spacing w:before="326" w:line="238" w:lineRule="auto"/>
        <w:ind w:left="1" w:firstLine="11"/>
      </w:pPr>
      <w:r>
        <w:rPr>
          <w:b/>
          <w:bCs/>
          <w:color w:val="32373F"/>
          <w:spacing w:val="4"/>
        </w:rPr>
        <w:t>中心区域晶体</w:t>
      </w:r>
      <w:r>
        <w:rPr>
          <w:color w:val="32373F"/>
          <w:spacing w:val="4"/>
        </w:rPr>
        <w:t>：峰位时间曲线呈现出大幅度的周期性振荡，振荡幅度高达约</w:t>
      </w:r>
      <w:r>
        <w:rPr>
          <w:color w:val="32373F"/>
          <w:spacing w:val="19"/>
        </w:rPr>
        <w:t xml:space="preserve"> </w:t>
      </w:r>
      <w:r>
        <w:rPr>
          <w:rFonts w:ascii="Arial" w:hAnsi="Arial" w:eastAsia="Arial" w:cs="Arial"/>
          <w:color w:val="32373F"/>
          <w:spacing w:val="4"/>
        </w:rPr>
        <w:t>5000–</w:t>
      </w:r>
      <w:r>
        <w:rPr>
          <w:rFonts w:ascii="Arial" w:hAnsi="Arial" w:eastAsia="Arial" w:cs="Arial"/>
          <w:color w:val="32373F"/>
          <w:spacing w:val="3"/>
        </w:rPr>
        <w:t xml:space="preserve">20000 </w:t>
      </w:r>
      <w:r>
        <w:rPr>
          <w:rFonts w:ascii="Arial" w:hAnsi="Arial" w:eastAsia="Arial" w:cs="Arial"/>
          <w:color w:val="32373F"/>
        </w:rPr>
        <w:t>ADC</w:t>
      </w:r>
      <w:r>
        <w:rPr>
          <w:color w:val="32373F"/>
          <w:spacing w:val="3"/>
        </w:rPr>
        <w:t>，与热循</w:t>
      </w:r>
      <w:r>
        <w:rPr>
          <w:color w:val="32373F"/>
          <w:spacing w:val="5"/>
        </w:rPr>
        <w:t>环高低温台阶高度同步。这一现象反映了中心晶体在高低温之间切换时，宇宙线最小电离粒子响应</w:t>
      </w:r>
      <w:r>
        <w:rPr>
          <w:color w:val="32373F"/>
          <w:spacing w:val="4"/>
        </w:rPr>
        <w:t>随温度的显著变化，主要源于闪烁晶体发光效率和雪崩光电二极管增益的温度依赖性在中心晶体上的综合</w:t>
      </w:r>
      <w:r>
        <w:rPr>
          <w:color w:val="32373F"/>
          <w:spacing w:val="3"/>
        </w:rPr>
        <w:t>体现。</w:t>
      </w:r>
      <w:r>
        <w:rPr>
          <w:color w:val="32373F"/>
          <w:spacing w:val="5"/>
        </w:rPr>
        <w:t>尽管峰位振荡幅度较大，但在每个相同温度台阶下，各晶体的峰位回归水平高度一致，无不可恢复</w:t>
      </w:r>
      <w:r>
        <w:rPr>
          <w:color w:val="32373F"/>
          <w:spacing w:val="4"/>
        </w:rPr>
        <w:t>的系统</w:t>
      </w:r>
      <w:r>
        <w:rPr>
          <w:color w:val="32373F"/>
          <w:spacing w:val="2"/>
        </w:rPr>
        <w:t>性漂移，说明该温度响应具有良好的可逆性。</w:t>
      </w:r>
    </w:p>
    <w:p w14:paraId="3AE03B13">
      <w:pPr>
        <w:pStyle w:val="2"/>
        <w:spacing w:before="242" w:line="231" w:lineRule="auto"/>
        <w:ind w:left="4" w:right="11"/>
        <w:jc w:val="both"/>
      </w:pPr>
      <w:r>
        <w:rPr>
          <w:b/>
          <w:bCs/>
          <w:color w:val="32373F"/>
          <w:spacing w:val="5"/>
        </w:rPr>
        <w:t>边角区域晶体</w:t>
      </w:r>
      <w:r>
        <w:rPr>
          <w:color w:val="32373F"/>
          <w:spacing w:val="5"/>
        </w:rPr>
        <w:t>：峰位在整个热循环期间维持在</w:t>
      </w:r>
      <w:r>
        <w:rPr>
          <w:color w:val="32373F"/>
          <w:spacing w:val="4"/>
        </w:rPr>
        <w:t xml:space="preserve">约 </w:t>
      </w:r>
      <w:r>
        <w:rPr>
          <w:rFonts w:ascii="Arial" w:hAnsi="Arial" w:eastAsia="Arial" w:cs="Arial"/>
          <w:color w:val="32373F"/>
          <w:spacing w:val="4"/>
        </w:rPr>
        <w:t xml:space="preserve">4000–7000 </w:t>
      </w:r>
      <w:r>
        <w:rPr>
          <w:rFonts w:ascii="Arial" w:hAnsi="Arial" w:eastAsia="Arial" w:cs="Arial"/>
          <w:color w:val="32373F"/>
        </w:rPr>
        <w:t>ADC</w:t>
      </w:r>
      <w:r>
        <w:rPr>
          <w:rFonts w:ascii="Arial" w:hAnsi="Arial" w:eastAsia="Arial" w:cs="Arial"/>
          <w:color w:val="32373F"/>
          <w:spacing w:val="4"/>
        </w:rPr>
        <w:t xml:space="preserve"> </w:t>
      </w:r>
      <w:r>
        <w:rPr>
          <w:color w:val="32373F"/>
          <w:spacing w:val="4"/>
        </w:rPr>
        <w:t>范围内平稳波动，随温度变化的幅度约</w:t>
      </w:r>
      <w:r>
        <w:rPr>
          <w:color w:val="32373F"/>
          <w:spacing w:val="5"/>
        </w:rPr>
        <w:t xml:space="preserve">为 </w:t>
      </w:r>
      <w:r>
        <w:rPr>
          <w:rFonts w:ascii="Arial" w:hAnsi="Arial" w:eastAsia="Arial" w:cs="Arial"/>
          <w:color w:val="32373F"/>
          <w:spacing w:val="5"/>
        </w:rPr>
        <w:t xml:space="preserve">±500–1000 </w:t>
      </w:r>
      <w:r>
        <w:rPr>
          <w:rFonts w:ascii="Arial" w:hAnsi="Arial" w:eastAsia="Arial" w:cs="Arial"/>
          <w:color w:val="32373F"/>
        </w:rPr>
        <w:t>ADC</w:t>
      </w:r>
      <w:r>
        <w:rPr>
          <w:color w:val="32373F"/>
          <w:spacing w:val="5"/>
        </w:rPr>
        <w:t>，波动规律与热循环温</w:t>
      </w:r>
      <w:r>
        <w:rPr>
          <w:color w:val="32373F"/>
          <w:spacing w:val="4"/>
        </w:rPr>
        <w:t>度剖面具有一定的对应关系，但总体变化趋势温和，无系统性</w:t>
      </w:r>
      <w:r>
        <w:rPr>
          <w:color w:val="32373F"/>
          <w:spacing w:val="2"/>
        </w:rPr>
        <w:t>单向漂移，峰位具有良好的可重复性。</w:t>
      </w:r>
    </w:p>
    <w:p w14:paraId="7659B1C1">
      <w:pPr>
        <w:pStyle w:val="2"/>
        <w:spacing w:before="288"/>
        <w:ind w:left="2" w:firstLine="2"/>
      </w:pPr>
      <w:r>
        <w:rPr>
          <w:color w:val="32373F"/>
          <w:spacing w:val="2"/>
        </w:rPr>
        <w:t xml:space="preserve">主份高增益与备份高增益两图的峰位时间演化规律高度吻合，  </w:t>
      </w:r>
      <w:r>
        <w:rPr>
          <w:rFonts w:ascii="Arial" w:hAnsi="Arial" w:eastAsia="Arial" w:cs="Arial"/>
          <w:color w:val="32373F"/>
          <w:spacing w:val="2"/>
        </w:rPr>
        <w:t xml:space="preserve">25 </w:t>
      </w:r>
      <w:r>
        <w:rPr>
          <w:color w:val="32373F"/>
          <w:spacing w:val="2"/>
        </w:rPr>
        <w:t>个晶体通道的分类行</w:t>
      </w:r>
      <w:r>
        <w:rPr>
          <w:color w:val="32373F"/>
          <w:spacing w:val="1"/>
        </w:rPr>
        <w:t>为、振荡幅度及周</w:t>
      </w:r>
      <w:r>
        <w:rPr>
          <w:color w:val="32373F"/>
          <w:spacing w:val="5"/>
        </w:rPr>
        <w:t>期特征均保持一致，进一步验证了主备份两端读出链路响应的高度一致性。综合来看，高温保持</w:t>
      </w:r>
      <w:r>
        <w:rPr>
          <w:color w:val="32373F"/>
          <w:spacing w:val="4"/>
        </w:rPr>
        <w:t>阶段以及完整热循环期间，</w:t>
      </w:r>
      <w:r>
        <w:rPr>
          <w:color w:val="32373F"/>
          <w:spacing w:val="-17"/>
        </w:rPr>
        <w:t xml:space="preserve"> </w:t>
      </w:r>
      <w:r>
        <w:rPr>
          <w:rFonts w:ascii="Arial" w:hAnsi="Arial" w:eastAsia="Arial" w:cs="Arial"/>
          <w:color w:val="32373F"/>
        </w:rPr>
        <w:t>Calo</w:t>
      </w:r>
      <w:r>
        <w:rPr>
          <w:rFonts w:ascii="Arial" w:hAnsi="Arial" w:eastAsia="Arial" w:cs="Arial"/>
          <w:color w:val="32373F"/>
          <w:spacing w:val="4"/>
        </w:rPr>
        <w:t xml:space="preserve"> </w:t>
      </w:r>
      <w:r>
        <w:rPr>
          <w:color w:val="32373F"/>
          <w:spacing w:val="4"/>
        </w:rPr>
        <w:t>高增益读出链路的宇宙线最小电离粒子响应峰位表现出与温度强相关的周期</w:t>
      </w:r>
      <w:r>
        <w:rPr>
          <w:color w:val="32373F"/>
          <w:spacing w:val="3"/>
        </w:rPr>
        <w:t>性变化，但在相同温度条件下具有良好的重复性，未发现不可逆的性能退化现象。</w:t>
      </w:r>
    </w:p>
    <w:p w14:paraId="3303F51A">
      <w:pPr>
        <w:spacing w:before="210" w:line="30" w:lineRule="exact"/>
      </w:pPr>
      <w:r>
        <w:drawing>
          <wp:inline distT="0" distB="0" distL="0" distR="0">
            <wp:extent cx="6572250" cy="19050"/>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40"/>
                    <a:stretch>
                      <a:fillRect/>
                    </a:stretch>
                  </pic:blipFill>
                  <pic:spPr>
                    <a:xfrm>
                      <a:off x="0" y="0"/>
                      <a:ext cx="6572250" cy="19050"/>
                    </a:xfrm>
                    <a:prstGeom prst="rect">
                      <a:avLst/>
                    </a:prstGeom>
                  </pic:spPr>
                </pic:pic>
              </a:graphicData>
            </a:graphic>
          </wp:inline>
        </w:drawing>
      </w:r>
    </w:p>
    <w:p w14:paraId="26C1E522">
      <w:pPr>
        <w:pStyle w:val="2"/>
        <w:spacing w:before="247" w:line="184" w:lineRule="auto"/>
        <w:ind w:left="12"/>
        <w:outlineLvl w:val="1"/>
        <w:rPr>
          <w:sz w:val="29"/>
          <w:szCs w:val="29"/>
        </w:rPr>
      </w:pPr>
      <w:r>
        <w:rPr>
          <w:rFonts w:ascii="Arial" w:hAnsi="Arial" w:eastAsia="Arial" w:cs="Arial"/>
          <w:b/>
          <w:bCs/>
          <w:color w:val="32373F"/>
          <w:spacing w:val="-2"/>
          <w:sz w:val="29"/>
          <w:szCs w:val="29"/>
        </w:rPr>
        <w:t xml:space="preserve">5. </w:t>
      </w:r>
      <w:r>
        <w:rPr>
          <w:b/>
          <w:bCs/>
          <w:color w:val="32373F"/>
          <w:spacing w:val="-2"/>
          <w:sz w:val="29"/>
          <w:szCs w:val="29"/>
        </w:rPr>
        <w:t>结论</w:t>
      </w:r>
    </w:p>
    <w:p w14:paraId="70FB1CD3">
      <w:pPr>
        <w:spacing w:line="184" w:lineRule="auto"/>
        <w:rPr>
          <w:sz w:val="29"/>
          <w:szCs w:val="29"/>
        </w:rPr>
        <w:sectPr>
          <w:pgSz w:w="11919" w:h="16858"/>
          <w:pgMar w:top="400" w:right="783" w:bottom="0" w:left="785" w:header="0" w:footer="0" w:gutter="0"/>
          <w:cols w:space="720" w:num="1"/>
        </w:sectPr>
      </w:pPr>
    </w:p>
    <w:p w14:paraId="7A97CD50">
      <w:pPr>
        <w:pStyle w:val="2"/>
        <w:spacing w:before="183" w:line="241" w:lineRule="auto"/>
        <w:ind w:left="12" w:hanging="9"/>
        <w:jc w:val="both"/>
      </w:pPr>
      <w:r>
        <w:rPr>
          <w:color w:val="32373F"/>
          <w:spacing w:val="8"/>
        </w:rPr>
        <w:t xml:space="preserve">本报告对 </w:t>
      </w:r>
      <w:r>
        <w:rPr>
          <w:rFonts w:ascii="Arial" w:hAnsi="Arial" w:eastAsia="Arial" w:cs="Arial"/>
          <w:color w:val="32373F"/>
        </w:rPr>
        <w:t>VLAST</w:t>
      </w:r>
      <w:r>
        <w:rPr>
          <w:rFonts w:ascii="Arial" w:hAnsi="Arial" w:eastAsia="Arial" w:cs="Arial"/>
          <w:color w:val="32373F"/>
          <w:spacing w:val="8"/>
        </w:rPr>
        <w:t xml:space="preserve">-P </w:t>
      </w:r>
      <w:r>
        <w:rPr>
          <w:color w:val="32373F"/>
          <w:spacing w:val="8"/>
        </w:rPr>
        <w:t>电磁量能器（</w:t>
      </w:r>
      <w:r>
        <w:rPr>
          <w:rFonts w:ascii="Arial" w:hAnsi="Arial" w:eastAsia="Arial" w:cs="Arial"/>
          <w:color w:val="32373F"/>
        </w:rPr>
        <w:t>Calo</w:t>
      </w:r>
      <w:r>
        <w:rPr>
          <w:color w:val="32373F"/>
          <w:spacing w:val="8"/>
        </w:rPr>
        <w:t>）在验收级热循环试验(</w:t>
      </w:r>
      <w:r>
        <w:rPr>
          <w:rFonts w:ascii="Arial" w:hAnsi="Arial" w:eastAsia="Arial" w:cs="Arial"/>
          <w:color w:val="32373F"/>
          <w:spacing w:val="8"/>
        </w:rPr>
        <w:t>−15</w:t>
      </w:r>
      <w:r>
        <w:rPr>
          <w:color w:val="32373F"/>
          <w:spacing w:val="8"/>
        </w:rPr>
        <w:t xml:space="preserve">℃ 至 </w:t>
      </w:r>
      <w:r>
        <w:rPr>
          <w:rFonts w:ascii="Arial" w:hAnsi="Arial" w:eastAsia="Arial" w:cs="Arial"/>
          <w:color w:val="32373F"/>
          <w:spacing w:val="8"/>
        </w:rPr>
        <w:t xml:space="preserve">+35 </w:t>
      </w:r>
      <w:r>
        <w:rPr>
          <w:color w:val="32373F"/>
          <w:spacing w:val="8"/>
        </w:rPr>
        <w:t>℃</w:t>
      </w:r>
      <w:r>
        <w:rPr>
          <w:color w:val="32373F"/>
          <w:spacing w:val="7"/>
        </w:rPr>
        <w:t>,</w:t>
      </w:r>
      <w:r>
        <w:rPr>
          <w:color w:val="32373F"/>
          <w:spacing w:val="26"/>
        </w:rPr>
        <w:t xml:space="preserve">  </w:t>
      </w:r>
      <w:r>
        <w:rPr>
          <w:rFonts w:ascii="Arial" w:hAnsi="Arial" w:eastAsia="Arial" w:cs="Arial"/>
          <w:color w:val="32373F"/>
          <w:spacing w:val="7"/>
        </w:rPr>
        <w:t xml:space="preserve">12.5 </w:t>
      </w:r>
      <w:r>
        <w:rPr>
          <w:color w:val="32373F"/>
          <w:spacing w:val="7"/>
        </w:rPr>
        <w:t>次循环）过程中</w:t>
      </w:r>
      <w:r>
        <w:rPr>
          <w:color w:val="32373F"/>
          <w:spacing w:val="5"/>
        </w:rPr>
        <w:t>的工作状态进行了系统分析，涵盖遥测工作状态参数监测、电子学台基分</w:t>
      </w:r>
      <w:r>
        <w:rPr>
          <w:color w:val="32373F"/>
          <w:spacing w:val="4"/>
        </w:rPr>
        <w:t>析、刻度线性分析及宇宙线最小</w:t>
      </w:r>
      <w:r>
        <w:rPr>
          <w:color w:val="32373F"/>
        </w:rPr>
        <w:t>电离粒子响应分析四个方面。</w:t>
      </w:r>
    </w:p>
    <w:p w14:paraId="30333CAF">
      <w:pPr>
        <w:pStyle w:val="2"/>
        <w:spacing w:before="283" w:line="186" w:lineRule="auto"/>
        <w:ind w:left="5"/>
      </w:pPr>
      <w:r>
        <w:rPr>
          <w:color w:val="32373F"/>
          <w:spacing w:val="-2"/>
        </w:rPr>
        <w:t>主要结论如下：</w:t>
      </w:r>
    </w:p>
    <w:p w14:paraId="782B07B2">
      <w:pPr>
        <w:spacing w:line="274" w:lineRule="auto"/>
        <w:rPr>
          <w:rFonts w:ascii="Arial"/>
          <w:sz w:val="21"/>
        </w:rPr>
      </w:pPr>
    </w:p>
    <w:p w14:paraId="7F0B7945">
      <w:pPr>
        <w:pStyle w:val="2"/>
        <w:spacing w:before="103" w:line="187" w:lineRule="auto"/>
        <w:ind w:left="10"/>
        <w:outlineLvl w:val="2"/>
        <w:rPr>
          <w:sz w:val="24"/>
          <w:szCs w:val="24"/>
        </w:rPr>
      </w:pPr>
      <w:r>
        <w:rPr>
          <w:rFonts w:ascii="Arial" w:hAnsi="Arial" w:eastAsia="Arial" w:cs="Arial"/>
          <w:b/>
          <w:bCs/>
          <w:color w:val="32373F"/>
          <w:spacing w:val="4"/>
          <w:sz w:val="24"/>
          <w:szCs w:val="24"/>
        </w:rPr>
        <w:t xml:space="preserve">5.1 </w:t>
      </w:r>
      <w:r>
        <w:rPr>
          <w:b/>
          <w:bCs/>
          <w:color w:val="32373F"/>
          <w:spacing w:val="4"/>
          <w:sz w:val="24"/>
          <w:szCs w:val="24"/>
        </w:rPr>
        <w:t>遥测工作状态</w:t>
      </w:r>
    </w:p>
    <w:p w14:paraId="36C88DFF">
      <w:pPr>
        <w:pStyle w:val="2"/>
        <w:spacing w:before="164" w:line="232" w:lineRule="auto"/>
        <w:ind w:left="2" w:right="24" w:firstLine="3"/>
        <w:jc w:val="both"/>
      </w:pPr>
      <w:r>
        <w:rPr>
          <w:color w:val="32373F"/>
          <w:spacing w:val="3"/>
        </w:rPr>
        <w:t>热循环全程中，</w:t>
      </w:r>
      <w:r>
        <w:rPr>
          <w:color w:val="32373F"/>
          <w:spacing w:val="-1"/>
        </w:rPr>
        <w:t xml:space="preserve"> </w:t>
      </w:r>
      <w:r>
        <w:rPr>
          <w:rFonts w:ascii="Arial" w:hAnsi="Arial" w:eastAsia="Arial" w:cs="Arial"/>
          <w:color w:val="32373F"/>
        </w:rPr>
        <w:t>FEE</w:t>
      </w:r>
      <w:r>
        <w:rPr>
          <w:rFonts w:ascii="Arial" w:hAnsi="Arial" w:eastAsia="Arial" w:cs="Arial"/>
          <w:color w:val="32373F"/>
          <w:spacing w:val="3"/>
        </w:rPr>
        <w:t>5–8</w:t>
      </w:r>
      <w:r>
        <w:rPr>
          <w:rFonts w:ascii="Arial" w:hAnsi="Arial" w:eastAsia="Arial" w:cs="Arial"/>
          <w:color w:val="32373F"/>
          <w:spacing w:val="23"/>
        </w:rPr>
        <w:t xml:space="preserve"> </w:t>
      </w:r>
      <w:r>
        <w:rPr>
          <w:color w:val="32373F"/>
          <w:spacing w:val="3"/>
        </w:rPr>
        <w:t>四块前端电子学板的温度遥测曲线连续平滑，各测点温度响应与预设温度剖面吻</w:t>
      </w:r>
      <w:r>
        <w:rPr>
          <w:color w:val="32373F"/>
          <w:spacing w:val="4"/>
        </w:rPr>
        <w:t>合良好，高低温台阶均在合理范围内收敛，未出现温度突变或响应异常。各路电源电流（</w:t>
      </w:r>
      <w:r>
        <w:rPr>
          <w:rFonts w:ascii="Arial" w:hAnsi="Arial" w:eastAsia="Arial" w:cs="Arial"/>
          <w:color w:val="32373F"/>
          <w:spacing w:val="4"/>
        </w:rPr>
        <w:t xml:space="preserve">1.8 V </w:t>
      </w:r>
      <w:r>
        <w:rPr>
          <w:color w:val="32373F"/>
          <w:spacing w:val="4"/>
        </w:rPr>
        <w:t xml:space="preserve">及 </w:t>
      </w:r>
      <w:r>
        <w:rPr>
          <w:rFonts w:ascii="Arial" w:hAnsi="Arial" w:eastAsia="Arial" w:cs="Arial"/>
          <w:color w:val="32373F"/>
          <w:spacing w:val="4"/>
        </w:rPr>
        <w:t>±5 V</w:t>
      </w:r>
      <w:r>
        <w:rPr>
          <w:color w:val="32373F"/>
          <w:spacing w:val="4"/>
        </w:rPr>
        <w:t>）在整个热循环期间整体稳定，</w:t>
      </w:r>
      <w:r>
        <w:rPr>
          <w:color w:val="32373F"/>
          <w:spacing w:val="22"/>
        </w:rPr>
        <w:t xml:space="preserve"> </w:t>
      </w:r>
      <w:r>
        <w:rPr>
          <w:rFonts w:ascii="Arial" w:hAnsi="Arial" w:eastAsia="Arial" w:cs="Arial"/>
          <w:color w:val="32373F"/>
          <w:spacing w:val="4"/>
        </w:rPr>
        <w:t xml:space="preserve">1.8 V </w:t>
      </w:r>
      <w:r>
        <w:rPr>
          <w:color w:val="32373F"/>
          <w:spacing w:val="4"/>
        </w:rPr>
        <w:t>电流随温度呈现约</w:t>
      </w:r>
      <w:r>
        <w:rPr>
          <w:rFonts w:ascii="Arial" w:hAnsi="Arial" w:eastAsia="Arial" w:cs="Arial"/>
          <w:color w:val="32373F"/>
          <w:spacing w:val="4"/>
        </w:rPr>
        <w:t xml:space="preserve">40–60 </w:t>
      </w:r>
      <w:r>
        <w:rPr>
          <w:rFonts w:ascii="Arial" w:hAnsi="Arial" w:eastAsia="Arial" w:cs="Arial"/>
          <w:color w:val="32373F"/>
        </w:rPr>
        <w:t>mA</w:t>
      </w:r>
      <w:r>
        <w:rPr>
          <w:rFonts w:ascii="Arial" w:hAnsi="Arial" w:eastAsia="Arial" w:cs="Arial"/>
          <w:color w:val="32373F"/>
          <w:spacing w:val="3"/>
        </w:rPr>
        <w:t xml:space="preserve"> </w:t>
      </w:r>
      <w:r>
        <w:rPr>
          <w:color w:val="32373F"/>
          <w:spacing w:val="3"/>
        </w:rPr>
        <w:t>的周期性变化，与器件功耗的温度相关</w:t>
      </w:r>
      <w:r>
        <w:rPr>
          <w:color w:val="32373F"/>
          <w:spacing w:val="5"/>
        </w:rPr>
        <w:t>性一致；</w:t>
      </w:r>
      <w:r>
        <w:rPr>
          <w:rFonts w:ascii="Arial" w:hAnsi="Arial" w:eastAsia="Arial" w:cs="Arial"/>
          <w:color w:val="32373F"/>
          <w:spacing w:val="5"/>
        </w:rPr>
        <w:t xml:space="preserve">±5 V </w:t>
      </w:r>
      <w:r>
        <w:rPr>
          <w:color w:val="32373F"/>
          <w:spacing w:val="5"/>
        </w:rPr>
        <w:t>电流波动幅度约</w:t>
      </w:r>
      <w:r>
        <w:rPr>
          <w:rFonts w:ascii="Arial" w:hAnsi="Arial" w:eastAsia="Arial" w:cs="Arial"/>
          <w:color w:val="32373F"/>
          <w:spacing w:val="5"/>
        </w:rPr>
        <w:t xml:space="preserve">±3 </w:t>
      </w:r>
      <w:r>
        <w:rPr>
          <w:rFonts w:ascii="Arial" w:hAnsi="Arial" w:eastAsia="Arial" w:cs="Arial"/>
          <w:color w:val="32373F"/>
        </w:rPr>
        <w:t>mA</w:t>
      </w:r>
      <w:r>
        <w:rPr>
          <w:color w:val="32373F"/>
          <w:spacing w:val="5"/>
        </w:rPr>
        <w:t>，对温度变化不敏感。</w:t>
      </w:r>
    </w:p>
    <w:p w14:paraId="7DCF5BC7">
      <w:pPr>
        <w:pStyle w:val="2"/>
        <w:spacing w:before="320" w:line="188" w:lineRule="auto"/>
        <w:ind w:left="2"/>
      </w:pPr>
      <w:r>
        <w:rPr>
          <w:color w:val="32373F"/>
          <w:spacing w:val="4"/>
        </w:rPr>
        <w:t>全程未发现电流异常突变、数据采集中断或工作模式异常切换等问题，电子学工作</w:t>
      </w:r>
      <w:r>
        <w:rPr>
          <w:color w:val="32373F"/>
          <w:spacing w:val="3"/>
        </w:rPr>
        <w:t>状态持续正常。</w:t>
      </w:r>
    </w:p>
    <w:p w14:paraId="3A694F8F">
      <w:pPr>
        <w:spacing w:line="257" w:lineRule="auto"/>
        <w:rPr>
          <w:rFonts w:ascii="Arial"/>
          <w:sz w:val="21"/>
        </w:rPr>
      </w:pPr>
    </w:p>
    <w:p w14:paraId="5AAB9215">
      <w:pPr>
        <w:pStyle w:val="2"/>
        <w:spacing w:before="103" w:line="188" w:lineRule="auto"/>
        <w:ind w:left="10"/>
        <w:outlineLvl w:val="2"/>
        <w:rPr>
          <w:sz w:val="24"/>
          <w:szCs w:val="24"/>
        </w:rPr>
      </w:pPr>
      <w:r>
        <w:rPr>
          <w:rFonts w:ascii="Arial" w:hAnsi="Arial" w:eastAsia="Arial" w:cs="Arial"/>
          <w:b/>
          <w:bCs/>
          <w:color w:val="32373F"/>
          <w:spacing w:val="4"/>
          <w:sz w:val="24"/>
          <w:szCs w:val="24"/>
        </w:rPr>
        <w:t xml:space="preserve">5.2 </w:t>
      </w:r>
      <w:r>
        <w:rPr>
          <w:b/>
          <w:bCs/>
          <w:color w:val="32373F"/>
          <w:spacing w:val="4"/>
          <w:sz w:val="24"/>
          <w:szCs w:val="24"/>
        </w:rPr>
        <w:t>台基稳定性</w:t>
      </w:r>
    </w:p>
    <w:p w14:paraId="025A834E">
      <w:pPr>
        <w:pStyle w:val="2"/>
        <w:spacing w:before="180" w:line="229" w:lineRule="auto"/>
        <w:ind w:left="1" w:right="74" w:firstLine="2"/>
        <w:rPr>
          <w:rFonts w:ascii="Arial" w:hAnsi="Arial" w:eastAsia="Arial" w:cs="Arial"/>
        </w:rPr>
      </w:pPr>
      <w:r>
        <w:rPr>
          <w:color w:val="32373F"/>
          <w:spacing w:val="5"/>
        </w:rPr>
        <w:t>高温保持阶段，主份高增益、主份低增益、备份高增益、备</w:t>
      </w:r>
      <w:r>
        <w:rPr>
          <w:color w:val="32373F"/>
          <w:spacing w:val="4"/>
        </w:rPr>
        <w:t xml:space="preserve">份低增益四组读出链路的 </w:t>
      </w:r>
      <w:r>
        <w:rPr>
          <w:rFonts w:ascii="Arial" w:hAnsi="Arial" w:eastAsia="Arial" w:cs="Arial"/>
          <w:color w:val="32373F"/>
          <w:spacing w:val="4"/>
        </w:rPr>
        <w:t xml:space="preserve">25 </w:t>
      </w:r>
      <w:r>
        <w:rPr>
          <w:color w:val="32373F"/>
          <w:spacing w:val="4"/>
        </w:rPr>
        <w:t>个晶体通道台基</w:t>
      </w:r>
      <w:r>
        <w:rPr>
          <w:color w:val="32373F"/>
          <w:spacing w:val="5"/>
        </w:rPr>
        <w:t>分布均呈清晰单峰结构，高斯拟合结果稳定，未发现失效</w:t>
      </w:r>
      <w:r>
        <w:rPr>
          <w:color w:val="32373F"/>
          <w:spacing w:val="4"/>
        </w:rPr>
        <w:t xml:space="preserve">通道。高增益链路台基拟合宽度约为 </w:t>
      </w:r>
      <w:r>
        <w:rPr>
          <w:rFonts w:ascii="Arial" w:hAnsi="Arial" w:eastAsia="Arial" w:cs="Arial"/>
          <w:color w:val="32373F"/>
          <w:spacing w:val="4"/>
        </w:rPr>
        <w:t>23–27</w:t>
      </w:r>
    </w:p>
    <w:p w14:paraId="35D571C8">
      <w:pPr>
        <w:pStyle w:val="2"/>
        <w:spacing w:before="1" w:line="239" w:lineRule="auto"/>
      </w:pPr>
      <w:r>
        <w:rPr>
          <w:rFonts w:ascii="Arial" w:hAnsi="Arial" w:eastAsia="Arial" w:cs="Arial"/>
          <w:color w:val="32373F"/>
        </w:rPr>
        <w:t>ADC</w:t>
      </w:r>
      <w:r>
        <w:rPr>
          <w:color w:val="32373F"/>
          <w:spacing w:val="3"/>
        </w:rPr>
        <w:t>，低增益链路约为</w:t>
      </w:r>
      <w:r>
        <w:rPr>
          <w:color w:val="32373F"/>
          <w:spacing w:val="29"/>
          <w:w w:val="101"/>
        </w:rPr>
        <w:t xml:space="preserve"> </w:t>
      </w:r>
      <w:r>
        <w:rPr>
          <w:rFonts w:ascii="Arial" w:hAnsi="Arial" w:eastAsia="Arial" w:cs="Arial"/>
          <w:color w:val="32373F"/>
          <w:spacing w:val="3"/>
        </w:rPr>
        <w:t xml:space="preserve">3–4 </w:t>
      </w:r>
      <w:r>
        <w:rPr>
          <w:rFonts w:ascii="Arial" w:hAnsi="Arial" w:eastAsia="Arial" w:cs="Arial"/>
          <w:color w:val="32373F"/>
        </w:rPr>
        <w:t>ADC</w:t>
      </w:r>
      <w:r>
        <w:rPr>
          <w:color w:val="32373F"/>
          <w:spacing w:val="3"/>
        </w:rPr>
        <w:t>，折算至相同增益尺度后两档增益噪声水平相当。</w:t>
      </w:r>
    </w:p>
    <w:p w14:paraId="737384A9">
      <w:pPr>
        <w:pStyle w:val="2"/>
        <w:spacing w:before="323" w:line="236" w:lineRule="auto"/>
        <w:ind w:left="2"/>
        <w:jc w:val="both"/>
      </w:pPr>
      <w:r>
        <w:rPr>
          <w:color w:val="32373F"/>
          <w:spacing w:val="5"/>
        </w:rPr>
        <w:t>在完整热循环期间，四组链路的台基均值均随温度呈现规律性周期变化，具有良好的可逆性，未</w:t>
      </w:r>
      <w:r>
        <w:rPr>
          <w:color w:val="32373F"/>
          <w:spacing w:val="4"/>
        </w:rPr>
        <w:t>观测到系</w:t>
      </w:r>
      <w:r>
        <w:rPr>
          <w:color w:val="32373F"/>
          <w:spacing w:val="5"/>
        </w:rPr>
        <w:t>统性单向漂移或不可恢复的性能退化现象。主份与备份两端读出链路的台基特性匹配良好，整体</w:t>
      </w:r>
      <w:r>
        <w:rPr>
          <w:color w:val="32373F"/>
          <w:spacing w:val="4"/>
        </w:rPr>
        <w:t>基线稳定</w:t>
      </w:r>
      <w:r>
        <w:rPr>
          <w:color w:val="32373F"/>
          <w:spacing w:val="-1"/>
        </w:rPr>
        <w:t>性满足预期要求。</w:t>
      </w:r>
    </w:p>
    <w:p w14:paraId="3D54144F">
      <w:pPr>
        <w:pStyle w:val="2"/>
        <w:spacing w:before="264" w:line="188" w:lineRule="auto"/>
        <w:ind w:left="10"/>
        <w:outlineLvl w:val="2"/>
        <w:rPr>
          <w:sz w:val="24"/>
          <w:szCs w:val="24"/>
        </w:rPr>
      </w:pPr>
      <w:r>
        <w:rPr>
          <w:rFonts w:ascii="Arial" w:hAnsi="Arial" w:eastAsia="Arial" w:cs="Arial"/>
          <w:b/>
          <w:bCs/>
          <w:color w:val="32373F"/>
          <w:spacing w:val="4"/>
          <w:sz w:val="24"/>
          <w:szCs w:val="24"/>
        </w:rPr>
        <w:t xml:space="preserve">5.3 </w:t>
      </w:r>
      <w:r>
        <w:rPr>
          <w:b/>
          <w:bCs/>
          <w:color w:val="32373F"/>
          <w:spacing w:val="4"/>
          <w:sz w:val="24"/>
          <w:szCs w:val="24"/>
        </w:rPr>
        <w:t>电子学刻度线性</w:t>
      </w:r>
    </w:p>
    <w:p w14:paraId="48E8F63C">
      <w:pPr>
        <w:pStyle w:val="2"/>
        <w:spacing w:before="221" w:line="223" w:lineRule="auto"/>
        <w:ind w:left="2" w:firstLine="2"/>
      </w:pPr>
      <w:r>
        <w:rPr>
          <w:color w:val="32373F"/>
          <w:spacing w:val="5"/>
        </w:rPr>
        <w:t>高温保持阶段，四组读出链路的电子学刻度响应均表现出良好的线性特性。高增益链路在低</w:t>
      </w:r>
      <w:r>
        <w:rPr>
          <w:color w:val="32373F"/>
          <w:spacing w:val="4"/>
        </w:rPr>
        <w:t>偏压段线性度优良，拟合斜率约为</w:t>
      </w:r>
      <w:r>
        <w:rPr>
          <w:color w:val="32373F"/>
          <w:spacing w:val="32"/>
        </w:rPr>
        <w:t xml:space="preserve"> </w:t>
      </w:r>
      <w:r>
        <w:rPr>
          <w:rFonts w:ascii="Arial" w:hAnsi="Arial" w:eastAsia="Arial" w:cs="Arial"/>
          <w:color w:val="32373F"/>
          <w:spacing w:val="4"/>
        </w:rPr>
        <w:t xml:space="preserve">167–179 </w:t>
      </w:r>
      <w:r>
        <w:rPr>
          <w:rFonts w:ascii="Arial" w:hAnsi="Arial" w:eastAsia="Arial" w:cs="Arial"/>
          <w:color w:val="32373F"/>
        </w:rPr>
        <w:t>ADC</w:t>
      </w:r>
      <w:r>
        <w:rPr>
          <w:rFonts w:ascii="Arial" w:hAnsi="Arial" w:eastAsia="Arial" w:cs="Arial"/>
          <w:color w:val="32373F"/>
          <w:spacing w:val="4"/>
        </w:rPr>
        <w:t>/</w:t>
      </w:r>
      <w:r>
        <w:rPr>
          <w:rFonts w:ascii="Arial" w:hAnsi="Arial" w:eastAsia="Arial" w:cs="Arial"/>
          <w:color w:val="32373F"/>
        </w:rPr>
        <w:t>mV</w:t>
      </w:r>
      <w:r>
        <w:rPr>
          <w:color w:val="32373F"/>
          <w:spacing w:val="4"/>
        </w:rPr>
        <w:t>，高偏压段正常饱和；低增益链路在全偏压扫描范围内保持优良</w:t>
      </w:r>
      <w:r>
        <w:rPr>
          <w:color w:val="32373F"/>
          <w:spacing w:val="2"/>
        </w:rPr>
        <w:t>线性，拟合斜率约为</w:t>
      </w:r>
      <w:r>
        <w:rPr>
          <w:color w:val="32373F"/>
          <w:spacing w:val="32"/>
        </w:rPr>
        <w:t xml:space="preserve"> </w:t>
      </w:r>
      <w:r>
        <w:rPr>
          <w:rFonts w:ascii="Arial" w:hAnsi="Arial" w:eastAsia="Arial" w:cs="Arial"/>
          <w:color w:val="32373F"/>
          <w:spacing w:val="2"/>
        </w:rPr>
        <w:t xml:space="preserve">16.2–17.1 </w:t>
      </w:r>
      <w:r>
        <w:rPr>
          <w:rFonts w:ascii="Arial" w:hAnsi="Arial" w:eastAsia="Arial" w:cs="Arial"/>
          <w:color w:val="32373F"/>
        </w:rPr>
        <w:t>ADC</w:t>
      </w:r>
      <w:r>
        <w:rPr>
          <w:rFonts w:ascii="Arial" w:hAnsi="Arial" w:eastAsia="Arial" w:cs="Arial"/>
          <w:color w:val="32373F"/>
          <w:spacing w:val="2"/>
        </w:rPr>
        <w:t>/</w:t>
      </w:r>
      <w:r>
        <w:rPr>
          <w:rFonts w:ascii="Arial" w:hAnsi="Arial" w:eastAsia="Arial" w:cs="Arial"/>
          <w:color w:val="32373F"/>
        </w:rPr>
        <w:t>mV</w:t>
      </w:r>
      <w:r>
        <w:rPr>
          <w:color w:val="32373F"/>
          <w:spacing w:val="2"/>
        </w:rPr>
        <w:t>。高低增益斜率之比约为</w:t>
      </w:r>
      <w:r>
        <w:rPr>
          <w:color w:val="32373F"/>
          <w:spacing w:val="39"/>
          <w:w w:val="101"/>
        </w:rPr>
        <w:t xml:space="preserve"> </w:t>
      </w:r>
      <w:r>
        <w:rPr>
          <w:rFonts w:ascii="Arial" w:hAnsi="Arial" w:eastAsia="Arial" w:cs="Arial"/>
          <w:color w:val="32373F"/>
          <w:spacing w:val="2"/>
        </w:rPr>
        <w:t>10.3–10.4</w:t>
      </w:r>
      <w:r>
        <w:rPr>
          <w:color w:val="32373F"/>
          <w:spacing w:val="2"/>
        </w:rPr>
        <w:t>，与双增益读出方案约</w:t>
      </w:r>
      <w:r>
        <w:rPr>
          <w:color w:val="32373F"/>
          <w:spacing w:val="34"/>
        </w:rPr>
        <w:t xml:space="preserve"> </w:t>
      </w:r>
      <w:r>
        <w:rPr>
          <w:rFonts w:ascii="Arial" w:hAnsi="Arial" w:eastAsia="Arial" w:cs="Arial"/>
          <w:color w:val="32373F"/>
          <w:spacing w:val="2"/>
        </w:rPr>
        <w:t>10</w:t>
      </w:r>
      <w:r>
        <w:rPr>
          <w:rFonts w:ascii="Arial" w:hAnsi="Arial" w:eastAsia="Arial" w:cs="Arial"/>
          <w:color w:val="32373F"/>
        </w:rPr>
        <w:t xml:space="preserve"> </w:t>
      </w:r>
      <w:r>
        <w:rPr>
          <w:color w:val="32373F"/>
        </w:rPr>
        <w:t>倍的设计目标高度吻合。</w:t>
      </w:r>
    </w:p>
    <w:p w14:paraId="49DDB266">
      <w:pPr>
        <w:pStyle w:val="2"/>
        <w:spacing w:before="295" w:line="239" w:lineRule="auto"/>
        <w:ind w:left="3" w:right="299" w:firstLine="2"/>
      </w:pPr>
      <w:r>
        <w:rPr>
          <w:color w:val="32373F"/>
          <w:spacing w:val="5"/>
        </w:rPr>
        <w:t>主份与备份两端对应增益档位的拟合斜率一致性良好，全</w:t>
      </w:r>
      <w:r>
        <w:rPr>
          <w:color w:val="32373F"/>
          <w:spacing w:val="4"/>
        </w:rPr>
        <w:t xml:space="preserve">部 </w:t>
      </w:r>
      <w:r>
        <w:rPr>
          <w:rFonts w:ascii="Arial" w:hAnsi="Arial" w:eastAsia="Arial" w:cs="Arial"/>
          <w:color w:val="32373F"/>
          <w:spacing w:val="4"/>
        </w:rPr>
        <w:t xml:space="preserve">25 </w:t>
      </w:r>
      <w:r>
        <w:rPr>
          <w:color w:val="32373F"/>
          <w:spacing w:val="4"/>
        </w:rPr>
        <w:t>个通道未发现增益异常或线性度劣化现</w:t>
      </w:r>
      <w:r>
        <w:rPr>
          <w:color w:val="32373F"/>
          <w:spacing w:val="1"/>
        </w:rPr>
        <w:t>象，电子学刻度特性稳定可靠。</w:t>
      </w:r>
    </w:p>
    <w:p w14:paraId="08F76341">
      <w:pPr>
        <w:pStyle w:val="2"/>
        <w:spacing w:before="308" w:line="187" w:lineRule="auto"/>
        <w:ind w:left="10"/>
        <w:outlineLvl w:val="2"/>
        <w:rPr>
          <w:sz w:val="24"/>
          <w:szCs w:val="24"/>
        </w:rPr>
      </w:pPr>
      <w:r>
        <w:rPr>
          <w:rFonts w:ascii="Arial" w:hAnsi="Arial" w:eastAsia="Arial" w:cs="Arial"/>
          <w:b/>
          <w:bCs/>
          <w:color w:val="32373F"/>
          <w:spacing w:val="6"/>
          <w:sz w:val="24"/>
          <w:szCs w:val="24"/>
        </w:rPr>
        <w:t xml:space="preserve">5.4 </w:t>
      </w:r>
      <w:r>
        <w:rPr>
          <w:b/>
          <w:bCs/>
          <w:color w:val="32373F"/>
          <w:spacing w:val="6"/>
          <w:sz w:val="24"/>
          <w:szCs w:val="24"/>
        </w:rPr>
        <w:t>宇宙线最小电离粒子</w:t>
      </w:r>
      <w:r>
        <w:rPr>
          <w:rFonts w:ascii="Arial" w:hAnsi="Arial" w:eastAsia="Arial" w:cs="Arial"/>
          <w:b/>
          <w:bCs/>
          <w:color w:val="32373F"/>
          <w:sz w:val="24"/>
          <w:szCs w:val="24"/>
        </w:rPr>
        <w:t>MIP</w:t>
      </w:r>
      <w:r>
        <w:rPr>
          <w:b/>
          <w:bCs/>
          <w:color w:val="32373F"/>
          <w:spacing w:val="6"/>
          <w:sz w:val="24"/>
          <w:szCs w:val="24"/>
        </w:rPr>
        <w:t>响应</w:t>
      </w:r>
    </w:p>
    <w:p w14:paraId="25DE3D99">
      <w:pPr>
        <w:pStyle w:val="2"/>
        <w:spacing w:before="178" w:line="235" w:lineRule="auto"/>
        <w:ind w:left="2" w:right="3" w:firstLine="2"/>
      </w:pPr>
      <w:r>
        <w:rPr>
          <w:color w:val="32373F"/>
          <w:spacing w:val="5"/>
        </w:rPr>
        <w:t>高温保持阶段，主份与备份高增益读出链路的</w:t>
      </w:r>
      <w:r>
        <w:rPr>
          <w:color w:val="32373F"/>
          <w:spacing w:val="4"/>
        </w:rPr>
        <w:t xml:space="preserve"> </w:t>
      </w:r>
      <w:r>
        <w:rPr>
          <w:rFonts w:ascii="Arial" w:hAnsi="Arial" w:eastAsia="Arial" w:cs="Arial"/>
          <w:color w:val="32373F"/>
          <w:spacing w:val="4"/>
        </w:rPr>
        <w:t xml:space="preserve">25 </w:t>
      </w:r>
      <w:r>
        <w:rPr>
          <w:color w:val="32373F"/>
          <w:spacing w:val="4"/>
        </w:rPr>
        <w:t xml:space="preserve">个晶体通道均可提取到有效的宇宙线 </w:t>
      </w:r>
      <w:r>
        <w:rPr>
          <w:rFonts w:ascii="Arial" w:hAnsi="Arial" w:eastAsia="Arial" w:cs="Arial"/>
          <w:color w:val="32373F"/>
        </w:rPr>
        <w:t>MIP</w:t>
      </w:r>
      <w:r>
        <w:rPr>
          <w:rFonts w:ascii="Arial" w:hAnsi="Arial" w:eastAsia="Arial" w:cs="Arial"/>
          <w:color w:val="32373F"/>
          <w:spacing w:val="4"/>
        </w:rPr>
        <w:t xml:space="preserve"> </w:t>
      </w:r>
      <w:r>
        <w:rPr>
          <w:color w:val="32373F"/>
          <w:spacing w:val="4"/>
        </w:rPr>
        <w:t>峰位，中心区</w:t>
      </w:r>
      <w:r>
        <w:rPr>
          <w:color w:val="32373F"/>
          <w:spacing w:val="5"/>
        </w:rPr>
        <w:t xml:space="preserve">域晶体峰位约在 </w:t>
      </w:r>
      <w:r>
        <w:rPr>
          <w:rFonts w:ascii="Arial" w:hAnsi="Arial" w:eastAsia="Arial" w:cs="Arial"/>
          <w:color w:val="32373F"/>
          <w:spacing w:val="5"/>
        </w:rPr>
        <w:t xml:space="preserve">5800–6850 </w:t>
      </w:r>
      <w:r>
        <w:rPr>
          <w:rFonts w:ascii="Arial" w:hAnsi="Arial" w:eastAsia="Arial" w:cs="Arial"/>
          <w:color w:val="32373F"/>
        </w:rPr>
        <w:t>ADC</w:t>
      </w:r>
      <w:r>
        <w:rPr>
          <w:rFonts w:ascii="Arial" w:hAnsi="Arial" w:eastAsia="Arial" w:cs="Arial"/>
          <w:color w:val="32373F"/>
          <w:spacing w:val="5"/>
        </w:rPr>
        <w:t xml:space="preserve"> </w:t>
      </w:r>
      <w:r>
        <w:rPr>
          <w:color w:val="32373F"/>
          <w:spacing w:val="5"/>
        </w:rPr>
        <w:t>之间，边角晶体因斜入射比例较高，峰位偏低至约</w:t>
      </w:r>
      <w:r>
        <w:rPr>
          <w:rFonts w:ascii="Arial" w:hAnsi="Arial" w:eastAsia="Arial" w:cs="Arial"/>
          <w:color w:val="32373F"/>
          <w:spacing w:val="5"/>
        </w:rPr>
        <w:t xml:space="preserve">4000–5400 </w:t>
      </w:r>
      <w:r>
        <w:rPr>
          <w:rFonts w:ascii="Arial" w:hAnsi="Arial" w:eastAsia="Arial" w:cs="Arial"/>
          <w:color w:val="32373F"/>
        </w:rPr>
        <w:t>ADC</w:t>
      </w:r>
      <w:r>
        <w:rPr>
          <w:rFonts w:ascii="Arial" w:hAnsi="Arial" w:eastAsia="Arial" w:cs="Arial"/>
          <w:color w:val="32373F"/>
          <w:spacing w:val="-11"/>
        </w:rPr>
        <w:t xml:space="preserve"> </w:t>
      </w:r>
      <w:r>
        <w:rPr>
          <w:color w:val="32373F"/>
          <w:spacing w:val="5"/>
        </w:rPr>
        <w:t xml:space="preserve">，符合物理预期。低增益链路因放大倍数较低，多数通道的 </w:t>
      </w:r>
      <w:r>
        <w:rPr>
          <w:rFonts w:ascii="Arial" w:hAnsi="Arial" w:eastAsia="Arial" w:cs="Arial"/>
          <w:color w:val="32373F"/>
        </w:rPr>
        <w:t>MIP</w:t>
      </w:r>
      <w:r>
        <w:rPr>
          <w:rFonts w:ascii="Arial" w:hAnsi="Arial" w:eastAsia="Arial" w:cs="Arial"/>
          <w:color w:val="32373F"/>
          <w:spacing w:val="5"/>
        </w:rPr>
        <w:t xml:space="preserve"> </w:t>
      </w:r>
      <w:r>
        <w:rPr>
          <w:color w:val="32373F"/>
          <w:spacing w:val="5"/>
        </w:rPr>
        <w:t>信号与台基噪声分</w:t>
      </w:r>
      <w:r>
        <w:rPr>
          <w:color w:val="32373F"/>
          <w:spacing w:val="4"/>
        </w:rPr>
        <w:t>离不足，峰位难以可靠</w:t>
      </w:r>
      <w:r>
        <w:rPr>
          <w:color w:val="32373F"/>
          <w:spacing w:val="3"/>
        </w:rPr>
        <w:t>提取，后续在轨刻度分析应以高增益链路为主要依据。</w:t>
      </w:r>
    </w:p>
    <w:p w14:paraId="2E6CF418">
      <w:pPr>
        <w:pStyle w:val="2"/>
        <w:spacing w:before="305" w:line="187" w:lineRule="auto"/>
        <w:ind w:left="2"/>
      </w:pPr>
      <w:r>
        <w:rPr>
          <w:color w:val="32373F"/>
          <w:spacing w:val="5"/>
        </w:rPr>
        <w:t xml:space="preserve">在完整热循环期间，高增益链路的 </w:t>
      </w:r>
      <w:r>
        <w:rPr>
          <w:rFonts w:ascii="Arial" w:hAnsi="Arial" w:eastAsia="Arial" w:cs="Arial"/>
          <w:color w:val="32373F"/>
        </w:rPr>
        <w:t>MIP</w:t>
      </w:r>
      <w:r>
        <w:rPr>
          <w:rFonts w:ascii="Arial" w:hAnsi="Arial" w:eastAsia="Arial" w:cs="Arial"/>
          <w:color w:val="32373F"/>
          <w:spacing w:val="5"/>
        </w:rPr>
        <w:t xml:space="preserve"> </w:t>
      </w:r>
      <w:r>
        <w:rPr>
          <w:color w:val="32373F"/>
          <w:spacing w:val="5"/>
        </w:rPr>
        <w:t>峰位随温度呈现明显的周期性振荡，</w:t>
      </w:r>
      <w:r>
        <w:rPr>
          <w:color w:val="32373F"/>
          <w:spacing w:val="4"/>
        </w:rPr>
        <w:t>中心晶体振荡幅度可达约</w:t>
      </w:r>
    </w:p>
    <w:p w14:paraId="45F84EEF">
      <w:pPr>
        <w:pStyle w:val="2"/>
        <w:spacing w:before="27" w:line="241" w:lineRule="auto"/>
        <w:ind w:left="2" w:firstLine="6"/>
      </w:pPr>
      <w:r>
        <w:rPr>
          <w:rFonts w:ascii="Arial" w:hAnsi="Arial" w:eastAsia="Arial" w:cs="Arial"/>
          <w:color w:val="32373F"/>
          <w:spacing w:val="5"/>
        </w:rPr>
        <w:t xml:space="preserve">5000–20000 </w:t>
      </w:r>
      <w:r>
        <w:rPr>
          <w:rFonts w:ascii="Arial" w:hAnsi="Arial" w:eastAsia="Arial" w:cs="Arial"/>
          <w:color w:val="32373F"/>
        </w:rPr>
        <w:t>ADC</w:t>
      </w:r>
      <w:r>
        <w:rPr>
          <w:color w:val="32373F"/>
          <w:spacing w:val="5"/>
        </w:rPr>
        <w:t>，反映了闪烁晶体发</w:t>
      </w:r>
      <w:r>
        <w:rPr>
          <w:color w:val="32373F"/>
          <w:spacing w:val="4"/>
        </w:rPr>
        <w:t>光效率与雪崩光电二极管增益的温度依赖性；但在相同温度台阶</w:t>
      </w:r>
      <w:r>
        <w:rPr>
          <w:color w:val="32373F"/>
        </w:rPr>
        <w:t xml:space="preserve"> </w:t>
      </w:r>
      <w:r>
        <w:rPr>
          <w:color w:val="32373F"/>
          <w:spacing w:val="5"/>
        </w:rPr>
        <w:t>下，各晶体峰位回归水平高度一致，具有良好的可重复性，未发现不可逆的性能退化现象。主份</w:t>
      </w:r>
      <w:r>
        <w:rPr>
          <w:color w:val="32373F"/>
          <w:spacing w:val="4"/>
        </w:rPr>
        <w:t>与备份高</w:t>
      </w:r>
      <w:r>
        <w:rPr>
          <w:color w:val="32373F"/>
          <w:spacing w:val="3"/>
        </w:rPr>
        <w:t>增益两端峰位时间演化规律高度吻合，响应一致性良好。</w:t>
      </w:r>
    </w:p>
    <w:p w14:paraId="6573AA55">
      <w:pPr>
        <w:spacing w:line="241" w:lineRule="auto"/>
        <w:sectPr>
          <w:pgSz w:w="11919" w:h="16858"/>
          <w:pgMar w:top="400" w:right="783" w:bottom="0" w:left="785" w:header="0" w:footer="0" w:gutter="0"/>
          <w:cols w:space="720" w:num="1"/>
        </w:sectPr>
      </w:pPr>
    </w:p>
    <w:p w14:paraId="282F2179">
      <w:pPr>
        <w:pStyle w:val="2"/>
        <w:spacing w:before="220" w:line="187" w:lineRule="auto"/>
        <w:ind w:left="10"/>
        <w:outlineLvl w:val="2"/>
        <w:rPr>
          <w:sz w:val="24"/>
          <w:szCs w:val="24"/>
        </w:rPr>
      </w:pPr>
      <w:r>
        <w:rPr>
          <w:rFonts w:ascii="Arial" w:hAnsi="Arial" w:eastAsia="Arial" w:cs="Arial"/>
          <w:b/>
          <w:bCs/>
          <w:color w:val="32373F"/>
          <w:spacing w:val="3"/>
          <w:sz w:val="24"/>
          <w:szCs w:val="24"/>
        </w:rPr>
        <w:t xml:space="preserve">5.5 </w:t>
      </w:r>
      <w:r>
        <w:rPr>
          <w:b/>
          <w:bCs/>
          <w:color w:val="32373F"/>
          <w:spacing w:val="3"/>
          <w:sz w:val="24"/>
          <w:szCs w:val="24"/>
        </w:rPr>
        <w:t>综合评价</w:t>
      </w:r>
    </w:p>
    <w:p w14:paraId="56946875">
      <w:pPr>
        <w:pStyle w:val="2"/>
        <w:spacing w:before="206" w:line="236" w:lineRule="auto"/>
      </w:pPr>
      <w:r>
        <w:rPr>
          <w:rFonts w:ascii="Arial" w:hAnsi="Arial" w:eastAsia="Arial" w:cs="Arial"/>
          <w:color w:val="32373F"/>
        </w:rPr>
        <w:t>VLAST</w:t>
      </w:r>
      <w:r>
        <w:rPr>
          <w:rFonts w:ascii="Arial" w:hAnsi="Arial" w:eastAsia="Arial" w:cs="Arial"/>
          <w:color w:val="32373F"/>
          <w:spacing w:val="5"/>
        </w:rPr>
        <w:t xml:space="preserve">-P </w:t>
      </w:r>
      <w:r>
        <w:rPr>
          <w:color w:val="32373F"/>
          <w:spacing w:val="5"/>
        </w:rPr>
        <w:t>电磁量能器在验收级热循环试验全程中，遥测工作状态持续正常，</w:t>
      </w:r>
      <w:r>
        <w:rPr>
          <w:color w:val="32373F"/>
          <w:spacing w:val="4"/>
        </w:rPr>
        <w:t>电子学台基稳定，刻度线性</w:t>
      </w:r>
      <w:r>
        <w:rPr>
          <w:color w:val="32373F"/>
          <w:spacing w:val="5"/>
        </w:rPr>
        <w:t>特性良好，宇宙线最小电离粒子响应具有温度相关性但可重复恢复，未观测到任何系统性性能退化或</w:t>
      </w:r>
      <w:r>
        <w:rPr>
          <w:color w:val="32373F"/>
          <w:spacing w:val="4"/>
        </w:rPr>
        <w:t>不可</w:t>
      </w:r>
      <w:r>
        <w:rPr>
          <w:color w:val="32373F"/>
        </w:rPr>
        <w:t>恢复的通道失效现象。</w:t>
      </w:r>
    </w:p>
    <w:p w14:paraId="3845E6A4">
      <w:pPr>
        <w:pStyle w:val="2"/>
        <w:spacing w:before="281" w:line="187" w:lineRule="auto"/>
        <w:ind w:left="3"/>
      </w:pPr>
      <w:r>
        <w:rPr>
          <w:color w:val="32373F"/>
          <w:spacing w:val="2"/>
        </w:rPr>
        <w:t xml:space="preserve">综合以上各项分析结果， </w:t>
      </w:r>
      <w:r>
        <w:rPr>
          <w:rFonts w:ascii="Arial" w:hAnsi="Arial" w:eastAsia="Arial" w:cs="Arial"/>
          <w:color w:val="32373F"/>
        </w:rPr>
        <w:t>Calo</w:t>
      </w:r>
      <w:r>
        <w:rPr>
          <w:rFonts w:ascii="Arial" w:hAnsi="Arial" w:eastAsia="Arial" w:cs="Arial"/>
          <w:color w:val="32373F"/>
          <w:spacing w:val="2"/>
        </w:rPr>
        <w:t xml:space="preserve"> </w:t>
      </w:r>
      <w:r>
        <w:rPr>
          <w:color w:val="32373F"/>
          <w:spacing w:val="2"/>
        </w:rPr>
        <w:t>载荷的热循环试验考核结果满</w:t>
      </w:r>
      <w:r>
        <w:rPr>
          <w:color w:val="32373F"/>
          <w:spacing w:val="1"/>
        </w:rPr>
        <w:t>足验收级试验要求。</w:t>
      </w:r>
    </w:p>
    <w:sectPr>
      <w:pgSz w:w="11919" w:h="16858"/>
      <w:pgMar w:top="400" w:right="783" w:bottom="0" w:left="785"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auto"/>
    <w:pitch w:val="default"/>
    <w:sig w:usb0="00000203" w:usb1="288F0000" w:usb2="0000000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A09E28">
    <w:pPr>
      <w:jc w:val="center"/>
    </w:pPr>
  </w:p>
  <w:tbl>
    <w:tblPr>
      <w:tblStyle w:val="6"/>
      <w:tblW w:w="100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9"/>
      <w:gridCol w:w="1219"/>
      <w:gridCol w:w="1220"/>
      <w:gridCol w:w="1219"/>
      <w:gridCol w:w="1220"/>
      <w:gridCol w:w="1219"/>
      <w:gridCol w:w="1078"/>
      <w:gridCol w:w="1418"/>
    </w:tblGrid>
    <w:tr w14:paraId="38672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9" w:type="dxa"/>
          <w:vMerge w:val="restart"/>
          <w:tcBorders>
            <w:top w:val="single" w:color="auto" w:sz="18" w:space="0"/>
            <w:left w:val="single" w:color="auto" w:sz="18" w:space="0"/>
            <w:bottom w:val="single" w:color="auto" w:sz="18" w:space="0"/>
            <w:right w:val="single" w:color="auto" w:sz="18" w:space="0"/>
          </w:tcBorders>
          <w:vAlign w:val="center"/>
        </w:tcPr>
        <w:p w14:paraId="712D0F62">
          <w:pPr>
            <w:jc w:val="center"/>
            <w:rPr>
              <w:rFonts w:hint="eastAsia"/>
            </w:rPr>
          </w:pPr>
          <w:r>
            <w:drawing>
              <wp:inline distT="0" distB="0" distL="0" distR="0">
                <wp:extent cx="775970" cy="775970"/>
                <wp:effectExtent l="0" t="0" r="127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
                          <a:clrChange>
                            <a:clrFrom>
                              <a:srgbClr val="FFFFFF"/>
                            </a:clrFrom>
                            <a:clrTo>
                              <a:srgbClr val="FFFFFF">
                                <a:alpha val="0"/>
                              </a:srgbClr>
                            </a:clrTo>
                          </a:clrChange>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75970" cy="775970"/>
                        </a:xfrm>
                        <a:prstGeom prst="rect">
                          <a:avLst/>
                        </a:prstGeom>
                      </pic:spPr>
                    </pic:pic>
                  </a:graphicData>
                </a:graphic>
              </wp:inline>
            </w:drawing>
          </w:r>
        </w:p>
      </w:tc>
      <w:tc>
        <w:tcPr>
          <w:tcW w:w="7175" w:type="dxa"/>
          <w:gridSpan w:val="6"/>
          <w:tcBorders>
            <w:top w:val="single" w:color="auto" w:sz="18" w:space="0"/>
            <w:left w:val="single" w:color="auto" w:sz="18" w:space="0"/>
            <w:right w:val="single" w:color="auto" w:sz="18" w:space="0"/>
          </w:tcBorders>
          <w:vAlign w:val="center"/>
        </w:tcPr>
        <w:p w14:paraId="49E93FD4">
          <w:pPr>
            <w:jc w:val="center"/>
            <w:rPr>
              <w:rFonts w:hint="eastAsia" w:ascii="宋体" w:hAnsi="宋体" w:eastAsia="宋体"/>
            </w:rPr>
          </w:pPr>
          <w:sdt>
            <w:sdtPr>
              <w:rPr>
                <w:rFonts w:ascii="宋体" w:hAnsi="宋体" w:eastAsia="宋体"/>
              </w:rPr>
              <w:alias w:val="标题"/>
              <w:id w:val="443892894"/>
              <w:placeholder>
                <w:docPart w:val="{a0d75716-33bb-4ae7-bcf3-afda3a590145}"/>
              </w:placeholder>
              <w:dataBinding w:prefixMappings="xmlns:ns0='http://purl.org/dc/elements/1.1/' xmlns:ns1='http://schemas.openxmlformats.org/package/2006/metadata/core-properties' " w:xpath="/ns1:coreProperties[1]/ns0:title[1]" w:storeItemID="{6C3C8BC8-F283-45AE-878A-BAB7291924A1}"/>
              <w:text/>
            </w:sdtPr>
            <w:sdtEndPr>
              <w:rPr>
                <w:rFonts w:ascii="宋体" w:hAnsi="宋体" w:eastAsia="宋体"/>
              </w:rPr>
            </w:sdtEndPr>
            <w:sdtContent>
              <w:r>
                <w:rPr>
                  <w:rFonts w:ascii="宋体" w:hAnsi="宋体" w:eastAsia="宋体"/>
                </w:rPr>
                <w:t>“探路者一号”技术试验卫星工程A星</w:t>
              </w:r>
            </w:sdtContent>
          </w:sdt>
        </w:p>
        <w:p w14:paraId="68B40E92">
          <w:pPr>
            <w:jc w:val="center"/>
            <w:rPr>
              <w:rFonts w:hint="eastAsia" w:ascii="宋体" w:hAnsi="宋体" w:eastAsia="宋体"/>
            </w:rPr>
          </w:pPr>
          <w:sdt>
            <w:sdtPr>
              <w:rPr>
                <w:rFonts w:ascii="宋体" w:hAnsi="宋体" w:eastAsia="宋体"/>
              </w:rPr>
              <w:alias w:val="主题"/>
              <w:id w:val="847294939"/>
              <w:dataBinding w:prefixMappings="xmlns:ns0='http://purl.org/dc/elements/1.1/' xmlns:ns1='http://schemas.openxmlformats.org/package/2006/metadata/core-properties' " w:xpath="/ns1:coreProperties[1]/ns0:subject[1]" w:storeItemID="{6C3C8BC8-F283-45AE-878A-BAB7291924A1}"/>
              <w:text/>
            </w:sdtPr>
            <w:sdtEndPr>
              <w:rPr>
                <w:rFonts w:ascii="宋体" w:hAnsi="宋体" w:eastAsia="宋体"/>
              </w:rPr>
            </w:sdtEndPr>
            <w:sdtContent>
              <w:r>
                <w:rPr>
                  <w:rFonts w:ascii="宋体" w:hAnsi="宋体" w:eastAsia="宋体"/>
                </w:rPr>
                <w:t>VLAST探路者载荷正样</w:t>
              </w:r>
              <w:r>
                <w:rPr>
                  <w:rFonts w:hint="eastAsia" w:ascii="宋体" w:hAnsi="宋体" w:eastAsia="宋体"/>
                </w:rPr>
                <w:t>定标报告</w:t>
              </w:r>
            </w:sdtContent>
          </w:sdt>
        </w:p>
      </w:tc>
      <w:tc>
        <w:tcPr>
          <w:tcW w:w="1418" w:type="dxa"/>
          <w:vMerge w:val="restart"/>
          <w:tcBorders>
            <w:top w:val="single" w:color="auto" w:sz="18" w:space="0"/>
            <w:left w:val="single" w:color="auto" w:sz="18" w:space="0"/>
            <w:bottom w:val="single" w:color="auto" w:sz="18" w:space="0"/>
            <w:right w:val="single" w:color="auto" w:sz="18" w:space="0"/>
          </w:tcBorders>
          <w:vAlign w:val="center"/>
        </w:tcPr>
        <w:p w14:paraId="5E9FED80">
          <w:pPr>
            <w:jc w:val="center"/>
            <w:rPr>
              <w:rFonts w:ascii="Times New Roman" w:hAnsi="Times New Roman" w:cs="Times New Roman"/>
              <w:sz w:val="32"/>
              <w:szCs w:val="32"/>
            </w:rPr>
          </w:pPr>
          <w:r>
            <w:rPr>
              <w:rFonts w:hint="eastAsia" w:ascii="Times New Roman" w:hAnsi="Times New Roman" w:cs="Times New Roman"/>
              <w:sz w:val="32"/>
              <w:szCs w:val="32"/>
            </w:rPr>
            <w:t>KX-12A</w:t>
          </w:r>
        </w:p>
      </w:tc>
    </w:tr>
    <w:tr w14:paraId="00A5C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9" w:type="dxa"/>
          <w:vMerge w:val="continue"/>
          <w:tcBorders>
            <w:left w:val="single" w:color="auto" w:sz="18" w:space="0"/>
            <w:bottom w:val="single" w:color="auto" w:sz="18" w:space="0"/>
            <w:right w:val="single" w:color="auto" w:sz="18" w:space="0"/>
          </w:tcBorders>
          <w:vAlign w:val="center"/>
        </w:tcPr>
        <w:p w14:paraId="6876ACC4">
          <w:pPr>
            <w:jc w:val="center"/>
            <w:rPr>
              <w:rFonts w:hint="eastAsia"/>
            </w:rPr>
          </w:pPr>
        </w:p>
      </w:tc>
      <w:tc>
        <w:tcPr>
          <w:tcW w:w="1219" w:type="dxa"/>
          <w:tcBorders>
            <w:left w:val="single" w:color="auto" w:sz="18" w:space="0"/>
          </w:tcBorders>
          <w:vAlign w:val="center"/>
        </w:tcPr>
        <w:p w14:paraId="2BCEC574">
          <w:pPr>
            <w:jc w:val="center"/>
            <w:rPr>
              <w:rFonts w:hint="eastAsia" w:ascii="黑体" w:hAnsi="黑体" w:eastAsia="黑体"/>
            </w:rPr>
          </w:pPr>
          <w:r>
            <w:rPr>
              <w:rFonts w:hint="eastAsia" w:ascii="黑体" w:hAnsi="黑体" w:eastAsia="黑体"/>
            </w:rPr>
            <w:t>文件编号</w:t>
          </w:r>
        </w:p>
      </w:tc>
      <w:tc>
        <w:tcPr>
          <w:tcW w:w="3659" w:type="dxa"/>
          <w:gridSpan w:val="3"/>
          <w:vAlign w:val="center"/>
        </w:tcPr>
        <w:p w14:paraId="3679BC59">
          <w:pPr>
            <w:jc w:val="center"/>
            <w:rPr>
              <w:rFonts w:hint="eastAsia" w:ascii="宋体" w:hAnsi="宋体" w:eastAsia="宋体"/>
            </w:rPr>
          </w:pPr>
          <w:r>
            <w:rPr>
              <w:rFonts w:hint="eastAsia" w:ascii="宋体" w:hAnsi="宋体" w:eastAsia="宋体"/>
            </w:rPr>
            <w:t>KX-12A-ZV00-</w:t>
          </w:r>
        </w:p>
      </w:tc>
      <w:tc>
        <w:tcPr>
          <w:tcW w:w="1219" w:type="dxa"/>
          <w:vAlign w:val="center"/>
        </w:tcPr>
        <w:p w14:paraId="773B6790">
          <w:pPr>
            <w:jc w:val="center"/>
            <w:rPr>
              <w:rFonts w:hint="eastAsia" w:ascii="黑体" w:hAnsi="黑体" w:eastAsia="黑体"/>
            </w:rPr>
          </w:pPr>
          <w:r>
            <w:rPr>
              <w:rFonts w:hint="eastAsia" w:ascii="黑体" w:hAnsi="黑体" w:eastAsia="黑体"/>
            </w:rPr>
            <w:t>版    本</w:t>
          </w:r>
        </w:p>
      </w:tc>
      <w:tc>
        <w:tcPr>
          <w:tcW w:w="1078" w:type="dxa"/>
          <w:tcBorders>
            <w:right w:val="single" w:color="auto" w:sz="18" w:space="0"/>
          </w:tcBorders>
          <w:vAlign w:val="center"/>
        </w:tcPr>
        <w:p w14:paraId="3D00F939">
          <w:pPr>
            <w:jc w:val="center"/>
            <w:rPr>
              <w:rFonts w:hint="eastAsia" w:ascii="宋体" w:hAnsi="宋体" w:eastAsia="宋体"/>
            </w:rPr>
          </w:pPr>
          <w:r>
            <w:rPr>
              <w:rFonts w:hint="eastAsia" w:ascii="宋体" w:hAnsi="宋体" w:eastAsia="宋体"/>
            </w:rPr>
            <w:t>V1</w:t>
          </w:r>
          <w:r>
            <w:rPr>
              <w:rFonts w:ascii="宋体" w:hAnsi="宋体" w:eastAsia="宋体"/>
            </w:rPr>
            <w:t>.0</w:t>
          </w:r>
        </w:p>
      </w:tc>
      <w:tc>
        <w:tcPr>
          <w:tcW w:w="1418" w:type="dxa"/>
          <w:vMerge w:val="continue"/>
          <w:tcBorders>
            <w:left w:val="single" w:color="auto" w:sz="18" w:space="0"/>
            <w:bottom w:val="single" w:color="auto" w:sz="18" w:space="0"/>
            <w:right w:val="single" w:color="auto" w:sz="18" w:space="0"/>
          </w:tcBorders>
          <w:vAlign w:val="center"/>
        </w:tcPr>
        <w:p w14:paraId="6965C790">
          <w:pPr>
            <w:jc w:val="center"/>
            <w:rPr>
              <w:rFonts w:hint="eastAsia"/>
            </w:rPr>
          </w:pPr>
        </w:p>
      </w:tc>
    </w:tr>
    <w:tr w14:paraId="4E618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9" w:type="dxa"/>
          <w:vMerge w:val="continue"/>
          <w:tcBorders>
            <w:left w:val="single" w:color="auto" w:sz="18" w:space="0"/>
            <w:bottom w:val="single" w:color="auto" w:sz="18" w:space="0"/>
            <w:right w:val="single" w:color="auto" w:sz="18" w:space="0"/>
          </w:tcBorders>
          <w:vAlign w:val="center"/>
        </w:tcPr>
        <w:p w14:paraId="71D97209">
          <w:pPr>
            <w:jc w:val="center"/>
            <w:rPr>
              <w:rFonts w:hint="eastAsia"/>
            </w:rPr>
          </w:pPr>
        </w:p>
      </w:tc>
      <w:tc>
        <w:tcPr>
          <w:tcW w:w="1219" w:type="dxa"/>
          <w:tcBorders>
            <w:left w:val="single" w:color="auto" w:sz="18" w:space="0"/>
            <w:bottom w:val="single" w:color="auto" w:sz="4" w:space="0"/>
          </w:tcBorders>
          <w:vAlign w:val="center"/>
        </w:tcPr>
        <w:p w14:paraId="3DF8AAAC">
          <w:pPr>
            <w:jc w:val="center"/>
            <w:rPr>
              <w:rFonts w:hint="eastAsia" w:ascii="黑体" w:hAnsi="黑体" w:eastAsia="黑体"/>
            </w:rPr>
          </w:pPr>
          <w:r>
            <w:rPr>
              <w:rFonts w:hint="eastAsia" w:ascii="黑体" w:hAnsi="黑体" w:eastAsia="黑体"/>
            </w:rPr>
            <w:t>页    数</w:t>
          </w:r>
        </w:p>
      </w:tc>
      <w:tc>
        <w:tcPr>
          <w:tcW w:w="1220" w:type="dxa"/>
          <w:tcBorders>
            <w:bottom w:val="single" w:color="auto" w:sz="4" w:space="0"/>
          </w:tcBorders>
          <w:vAlign w:val="center"/>
        </w:tcPr>
        <w:p w14:paraId="07B860FA">
          <w:pPr>
            <w:jc w:val="center"/>
            <w:rPr>
              <w:rFonts w:hint="eastAsia" w:ascii="宋体" w:hAnsi="宋体" w:eastAsia="宋体"/>
            </w:rPr>
          </w:pPr>
          <w:r>
            <w:rPr>
              <w:rFonts w:hint="eastAsia" w:ascii="宋体" w:hAnsi="宋体" w:eastAsia="宋体"/>
            </w:rPr>
            <w:t xml:space="preserve">共 </w:t>
          </w:r>
          <w:r>
            <w:rPr>
              <w:rFonts w:ascii="宋体" w:hAnsi="宋体" w:eastAsia="宋体"/>
            </w:rPr>
            <w:t>页</w:t>
          </w:r>
        </w:p>
      </w:tc>
      <w:tc>
        <w:tcPr>
          <w:tcW w:w="1219" w:type="dxa"/>
          <w:tcBorders>
            <w:bottom w:val="single" w:color="auto" w:sz="4" w:space="0"/>
          </w:tcBorders>
          <w:vAlign w:val="center"/>
        </w:tcPr>
        <w:p w14:paraId="476D1E27">
          <w:pPr>
            <w:jc w:val="center"/>
            <w:rPr>
              <w:rFonts w:hint="eastAsia" w:ascii="黑体" w:hAnsi="黑体" w:eastAsia="黑体"/>
            </w:rPr>
          </w:pPr>
          <w:r>
            <w:rPr>
              <w:rFonts w:hint="eastAsia" w:ascii="黑体" w:hAnsi="黑体" w:eastAsia="黑体"/>
            </w:rPr>
            <w:t>保管期限</w:t>
          </w:r>
        </w:p>
      </w:tc>
      <w:tc>
        <w:tcPr>
          <w:tcW w:w="1220" w:type="dxa"/>
          <w:tcBorders>
            <w:bottom w:val="single" w:color="auto" w:sz="4" w:space="0"/>
          </w:tcBorders>
          <w:vAlign w:val="center"/>
        </w:tcPr>
        <w:p w14:paraId="402A9503">
          <w:pPr>
            <w:jc w:val="center"/>
            <w:rPr>
              <w:rFonts w:hint="eastAsia" w:ascii="宋体" w:hAnsi="宋体" w:eastAsia="宋体"/>
            </w:rPr>
          </w:pPr>
          <w:r>
            <w:rPr>
              <w:rFonts w:hint="eastAsia" w:ascii="宋体" w:hAnsi="宋体" w:eastAsia="宋体"/>
            </w:rPr>
            <w:t>长期</w:t>
          </w:r>
        </w:p>
      </w:tc>
      <w:tc>
        <w:tcPr>
          <w:tcW w:w="1219" w:type="dxa"/>
          <w:tcBorders>
            <w:bottom w:val="single" w:color="auto" w:sz="4" w:space="0"/>
          </w:tcBorders>
          <w:vAlign w:val="center"/>
        </w:tcPr>
        <w:p w14:paraId="3CA35B92">
          <w:pPr>
            <w:jc w:val="center"/>
            <w:rPr>
              <w:rFonts w:hint="eastAsia" w:ascii="黑体" w:hAnsi="黑体" w:eastAsia="黑体"/>
            </w:rPr>
          </w:pPr>
          <w:r>
            <w:rPr>
              <w:rFonts w:hint="eastAsia" w:ascii="黑体" w:hAnsi="黑体" w:eastAsia="黑体"/>
            </w:rPr>
            <w:t>项目阶段</w:t>
          </w:r>
        </w:p>
      </w:tc>
      <w:tc>
        <w:tcPr>
          <w:tcW w:w="1078" w:type="dxa"/>
          <w:tcBorders>
            <w:bottom w:val="single" w:color="auto" w:sz="4" w:space="0"/>
            <w:right w:val="single" w:color="auto" w:sz="18" w:space="0"/>
          </w:tcBorders>
          <w:vAlign w:val="center"/>
        </w:tcPr>
        <w:p w14:paraId="61FCD4D1">
          <w:pPr>
            <w:jc w:val="center"/>
            <w:rPr>
              <w:rFonts w:hint="eastAsia" w:ascii="宋体" w:hAnsi="宋体" w:eastAsia="宋体"/>
            </w:rPr>
          </w:pPr>
          <w:r>
            <w:rPr>
              <w:rFonts w:hint="eastAsia" w:ascii="宋体" w:hAnsi="宋体" w:eastAsia="宋体"/>
            </w:rPr>
            <w:t>Z</w:t>
          </w:r>
        </w:p>
      </w:tc>
      <w:tc>
        <w:tcPr>
          <w:tcW w:w="1418" w:type="dxa"/>
          <w:vMerge w:val="continue"/>
          <w:tcBorders>
            <w:left w:val="single" w:color="auto" w:sz="18" w:space="0"/>
            <w:bottom w:val="single" w:color="auto" w:sz="18" w:space="0"/>
            <w:right w:val="single" w:color="auto" w:sz="18" w:space="0"/>
          </w:tcBorders>
          <w:vAlign w:val="center"/>
        </w:tcPr>
        <w:p w14:paraId="3B7D3B87">
          <w:pPr>
            <w:jc w:val="center"/>
            <w:rPr>
              <w:rFonts w:hint="eastAsia"/>
            </w:rPr>
          </w:pPr>
        </w:p>
      </w:tc>
    </w:tr>
    <w:tr w14:paraId="40302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449" w:type="dxa"/>
          <w:vMerge w:val="continue"/>
          <w:tcBorders>
            <w:left w:val="single" w:color="auto" w:sz="18" w:space="0"/>
            <w:bottom w:val="single" w:color="auto" w:sz="18" w:space="0"/>
            <w:right w:val="single" w:color="auto" w:sz="18" w:space="0"/>
          </w:tcBorders>
          <w:vAlign w:val="center"/>
        </w:tcPr>
        <w:p w14:paraId="0FCDB29A">
          <w:pPr>
            <w:jc w:val="center"/>
            <w:rPr>
              <w:rFonts w:hint="eastAsia"/>
            </w:rPr>
          </w:pPr>
        </w:p>
      </w:tc>
      <w:tc>
        <w:tcPr>
          <w:tcW w:w="1219" w:type="dxa"/>
          <w:tcBorders>
            <w:left w:val="single" w:color="auto" w:sz="18" w:space="0"/>
            <w:bottom w:val="single" w:color="auto" w:sz="18" w:space="0"/>
          </w:tcBorders>
          <w:vAlign w:val="center"/>
        </w:tcPr>
        <w:p w14:paraId="61497A43">
          <w:pPr>
            <w:jc w:val="center"/>
            <w:rPr>
              <w:rFonts w:hint="eastAsia" w:ascii="黑体" w:hAnsi="黑体" w:eastAsia="黑体"/>
            </w:rPr>
          </w:pPr>
          <w:r>
            <w:rPr>
              <w:rFonts w:hint="eastAsia" w:ascii="黑体" w:hAnsi="黑体" w:eastAsia="黑体"/>
            </w:rPr>
            <w:t xml:space="preserve">密  </w:t>
          </w:r>
          <w:r>
            <w:rPr>
              <w:rFonts w:ascii="黑体" w:hAnsi="黑体" w:eastAsia="黑体"/>
            </w:rPr>
            <w:t xml:space="preserve">  </w:t>
          </w:r>
          <w:r>
            <w:rPr>
              <w:rFonts w:hint="eastAsia" w:ascii="黑体" w:hAnsi="黑体" w:eastAsia="黑体"/>
            </w:rPr>
            <w:t>级</w:t>
          </w:r>
        </w:p>
      </w:tc>
      <w:tc>
        <w:tcPr>
          <w:tcW w:w="1220" w:type="dxa"/>
          <w:tcBorders>
            <w:bottom w:val="single" w:color="auto" w:sz="18" w:space="0"/>
          </w:tcBorders>
          <w:vAlign w:val="center"/>
        </w:tcPr>
        <w:p w14:paraId="5AE43EA5">
          <w:pPr>
            <w:jc w:val="center"/>
            <w:rPr>
              <w:rFonts w:hint="eastAsia" w:ascii="宋体" w:hAnsi="宋体" w:eastAsia="宋体"/>
            </w:rPr>
          </w:pPr>
          <w:r>
            <w:rPr>
              <w:rFonts w:ascii="宋体" w:hAnsi="宋体" w:eastAsia="宋体"/>
            </w:rPr>
            <w:t>公开</w:t>
          </w:r>
        </w:p>
      </w:tc>
      <w:tc>
        <w:tcPr>
          <w:tcW w:w="1219" w:type="dxa"/>
          <w:tcBorders>
            <w:bottom w:val="single" w:color="auto" w:sz="18" w:space="0"/>
          </w:tcBorders>
          <w:vAlign w:val="center"/>
        </w:tcPr>
        <w:p w14:paraId="014425C6">
          <w:pPr>
            <w:jc w:val="center"/>
            <w:rPr>
              <w:rFonts w:hint="eastAsia" w:ascii="黑体" w:hAnsi="黑体" w:eastAsia="黑体"/>
            </w:rPr>
          </w:pPr>
          <w:r>
            <w:rPr>
              <w:rFonts w:hint="eastAsia" w:ascii="黑体" w:hAnsi="黑体" w:eastAsia="黑体"/>
            </w:rPr>
            <w:t>发布日期</w:t>
          </w:r>
        </w:p>
      </w:tc>
      <w:tc>
        <w:tcPr>
          <w:tcW w:w="3517" w:type="dxa"/>
          <w:gridSpan w:val="3"/>
          <w:tcBorders>
            <w:bottom w:val="single" w:color="auto" w:sz="18" w:space="0"/>
            <w:right w:val="single" w:color="auto" w:sz="18" w:space="0"/>
          </w:tcBorders>
          <w:vAlign w:val="center"/>
        </w:tcPr>
        <w:p w14:paraId="2E69CAA3">
          <w:pPr>
            <w:jc w:val="center"/>
            <w:rPr>
              <w:rFonts w:hint="eastAsia" w:ascii="宋体" w:hAnsi="宋体" w:eastAsia="宋体"/>
            </w:rPr>
          </w:pPr>
        </w:p>
      </w:tc>
      <w:tc>
        <w:tcPr>
          <w:tcW w:w="1418" w:type="dxa"/>
          <w:vMerge w:val="continue"/>
          <w:tcBorders>
            <w:left w:val="single" w:color="auto" w:sz="18" w:space="0"/>
            <w:bottom w:val="single" w:color="auto" w:sz="18" w:space="0"/>
            <w:right w:val="single" w:color="auto" w:sz="18" w:space="0"/>
          </w:tcBorders>
          <w:vAlign w:val="center"/>
        </w:tcPr>
        <w:p w14:paraId="2B8FA16A">
          <w:pPr>
            <w:jc w:val="center"/>
            <w:rPr>
              <w:rFonts w:hint="eastAsia"/>
            </w:rPr>
          </w:pPr>
        </w:p>
      </w:tc>
    </w:tr>
  </w:tbl>
  <w:p w14:paraId="0F2DE997">
    <w:pPr>
      <w:pStyle w:val="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8B391">
    <w:pPr>
      <w:spacing w:line="14" w:lineRule="auto"/>
      <w:rPr>
        <w:rFonts w:ascii="Arial"/>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576221">
    <w:pPr>
      <w:spacing w:line="14" w:lineRule="auto"/>
      <w:rPr>
        <w:rFonts w:ascii="Arial"/>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D69160">
    <w:pPr>
      <w:spacing w:line="19" w:lineRule="exact"/>
    </w:pPr>
    <w:r>
      <w:drawing>
        <wp:inline distT="0" distB="0" distL="0" distR="0">
          <wp:extent cx="6572250" cy="1206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
                  <a:stretch>
                    <a:fillRect/>
                  </a:stretch>
                </pic:blipFill>
                <pic:spPr>
                  <a:xfrm>
                    <a:off x="0" y="0"/>
                    <a:ext cx="6572250" cy="12696"/>
                  </a:xfrm>
                  <a:prstGeom prst="rect">
                    <a:avLst/>
                  </a:prstGeom>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54A1F">
    <w:pPr>
      <w:spacing w:line="14" w:lineRule="auto"/>
      <w:rPr>
        <w:rFonts w:ascii="Arial"/>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2"/>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361440A"/>
    <w:rsid w:val="0D0B7A2B"/>
    <w:rsid w:val="26FD2B0C"/>
    <w:rsid w:val="3A223819"/>
    <w:rsid w:val="77DA24A2"/>
    <w:rsid w:val="780E561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微软雅黑" w:hAnsi="微软雅黑" w:eastAsia="微软雅黑" w:cs="微软雅黑"/>
      <w:sz w:val="22"/>
      <w:szCs w:val="22"/>
      <w:lang w:val="en-US" w:eastAsia="en-US" w:bidi="ar-SA"/>
    </w:r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basedOn w:val="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
    <w:name w:val="Table Normal"/>
    <w:semiHidden/>
    <w:unhideWhenUsed/>
    <w:qFormat/>
    <w:uiPriority w:val="0"/>
    <w:tblPr>
      <w:tblCellMar>
        <w:top w:w="0" w:type="dxa"/>
        <w:left w:w="0" w:type="dxa"/>
        <w:bottom w:w="0" w:type="dxa"/>
        <w:right w:w="0" w:type="dxa"/>
      </w:tblCellMar>
    </w:tblPr>
  </w:style>
  <w:style w:type="paragraph" w:customStyle="1" w:styleId="9">
    <w:name w:val="Table Text"/>
    <w:basedOn w:val="1"/>
    <w:semiHidden/>
    <w:qFormat/>
    <w:uiPriority w:val="0"/>
    <w:rPr>
      <w:rFonts w:ascii="微软雅黑" w:hAnsi="微软雅黑" w:eastAsia="微软雅黑" w:cs="微软雅黑"/>
      <w:sz w:val="22"/>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6" Type="http://schemas.openxmlformats.org/officeDocument/2006/relationships/glossaryDocument" Target="glossary/document.xml"/><Relationship Id="rId55" Type="http://schemas.openxmlformats.org/officeDocument/2006/relationships/fontTable" Target="fontTable.xml"/><Relationship Id="rId54" Type="http://schemas.openxmlformats.org/officeDocument/2006/relationships/customXml" Target="../customXml/item1.xml"/><Relationship Id="rId53" Type="http://schemas.openxmlformats.org/officeDocument/2006/relationships/image" Target="media/image45.png"/><Relationship Id="rId52" Type="http://schemas.openxmlformats.org/officeDocument/2006/relationships/image" Target="media/image44.jpeg"/><Relationship Id="rId51" Type="http://schemas.openxmlformats.org/officeDocument/2006/relationships/image" Target="media/image43.jpeg"/><Relationship Id="rId50" Type="http://schemas.openxmlformats.org/officeDocument/2006/relationships/image" Target="media/image42.jpeg"/><Relationship Id="rId5" Type="http://schemas.openxmlformats.org/officeDocument/2006/relationships/header" Target="header1.xml"/><Relationship Id="rId49" Type="http://schemas.openxmlformats.org/officeDocument/2006/relationships/image" Target="media/image41.jpeg"/><Relationship Id="rId48" Type="http://schemas.openxmlformats.org/officeDocument/2006/relationships/image" Target="media/image40.png"/><Relationship Id="rId47" Type="http://schemas.openxmlformats.org/officeDocument/2006/relationships/image" Target="media/image39.png"/><Relationship Id="rId46" Type="http://schemas.openxmlformats.org/officeDocument/2006/relationships/image" Target="media/image38.png"/><Relationship Id="rId45" Type="http://schemas.openxmlformats.org/officeDocument/2006/relationships/image" Target="media/image37.png"/><Relationship Id="rId44" Type="http://schemas.openxmlformats.org/officeDocument/2006/relationships/image" Target="media/image36.png"/><Relationship Id="rId43" Type="http://schemas.openxmlformats.org/officeDocument/2006/relationships/image" Target="media/image35.jpeg"/><Relationship Id="rId42" Type="http://schemas.openxmlformats.org/officeDocument/2006/relationships/image" Target="media/image34.jpeg"/><Relationship Id="rId41" Type="http://schemas.openxmlformats.org/officeDocument/2006/relationships/image" Target="media/image33.jpeg"/><Relationship Id="rId40" Type="http://schemas.openxmlformats.org/officeDocument/2006/relationships/image" Target="media/image3.jpeg"/><Relationship Id="rId4" Type="http://schemas.openxmlformats.org/officeDocument/2006/relationships/endnotes" Target="endnotes.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jpeg"/><Relationship Id="rId36" Type="http://schemas.openxmlformats.org/officeDocument/2006/relationships/image" Target="media/image29.jpeg"/><Relationship Id="rId35" Type="http://schemas.openxmlformats.org/officeDocument/2006/relationships/image" Target="media/image28.jpeg"/><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footnotes" Target="footnotes.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png"/><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microsoft.com/office/2007/relationships/hdphoto" Target="media/image2.wdp"/><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a0d75716-33bb-4ae7-bcf3-afda3a590145}"/>
        <w:style w:val=""/>
        <w:category>
          <w:name w:val="常规"/>
          <w:gallery w:val="placeholder"/>
        </w:category>
        <w:types>
          <w:type w:val="bbPlcHdr"/>
        </w:types>
        <w:behaviors>
          <w:behavior w:val="content"/>
        </w:behaviors>
        <w:description w:val=""/>
        <w:guid w:val="{a0d75716-33bb-4ae7-bcf3-afda3a590145}"/>
      </w:docPartPr>
      <w:docPartBody>
        <w:p w14:paraId="189F58D9">
          <w:pPr>
            <w:rPr>
              <w:rFonts w:hint="eastAsia"/>
            </w:rPr>
          </w:pPr>
          <w:r>
            <w:rPr>
              <w:rStyle w:val="3"/>
            </w:rPr>
            <w:t>[标题]</w:t>
          </w:r>
        </w:p>
      </w:docPartBody>
    </w:docPart>
    <w:docPart>
      <w:docPartPr>
        <w:name w:val="{8e056893-a5d8-411b-8dcb-4133bee97415}"/>
        <w:style w:val=""/>
        <w:category>
          <w:name w:val="常规"/>
          <w:gallery w:val="placeholder"/>
        </w:category>
        <w:types>
          <w:type w:val="bbPlcHdr"/>
        </w:types>
        <w:behaviors>
          <w:behavior w:val="content"/>
        </w:behaviors>
        <w:description w:val=""/>
        <w:guid w:val="{8e056893-a5d8-411b-8dcb-4133bee97415}"/>
      </w:docPartPr>
      <w:docPartBody>
        <w:p w14:paraId="7EA78DA3">
          <w:pPr>
            <w:rPr>
              <w:rFonts w:hint="eastAsia"/>
            </w:rPr>
          </w:pPr>
          <w:r>
            <w:rPr>
              <w:rStyle w:val="3"/>
            </w:rPr>
            <w:t>[标题]</w:t>
          </w:r>
        </w:p>
      </w:docPartBody>
    </w:docPart>
    <w:docPart>
      <w:docPartPr>
        <w:name w:val="{32cd9bd7-a9a9-477c-b289-c4044332d8fe}"/>
        <w:style w:val=""/>
        <w:category>
          <w:name w:val="常规"/>
          <w:gallery w:val="placeholder"/>
        </w:category>
        <w:types>
          <w:type w:val="bbPlcHdr"/>
        </w:types>
        <w:behaviors>
          <w:behavior w:val="content"/>
        </w:behaviors>
        <w:description w:val=""/>
        <w:guid w:val="{32cd9bd7-a9a9-477c-b289-c4044332d8fe}"/>
      </w:docPartPr>
      <w:docPartBody>
        <w:p w14:paraId="1180D93A">
          <w:pPr>
            <w:rPr>
              <w:rFonts w:hint="eastAsia"/>
            </w:rPr>
          </w:pPr>
          <w:r>
            <w:rPr>
              <w:rStyle w:val="3"/>
            </w:rPr>
            <w:t>[主题]</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qFormat/>
    <w:uiPriority w:val="1"/>
  </w:style>
  <w:style w:type="character" w:styleId="3">
    <w:name w:val="Placeholder Text"/>
    <w:basedOn w:val="2"/>
    <w:semiHidden/>
    <w:qFormat/>
    <w:uiPriority w:val="99"/>
    <w:rPr>
      <w:color w:val="808080"/>
    </w:rPr>
  </w:style>
</w:style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38</Pages>
  <Words>14465</Words>
  <Characters>16564</Characters>
  <TotalTime>1</TotalTime>
  <ScaleCrop>false</ScaleCrop>
  <LinksUpToDate>false</LinksUpToDate>
  <CharactersWithSpaces>17634</CharactersWithSpaces>
  <Application>WPS Office_12.1.0.25225_F1E327BC-269C-435d-A152-05C5408002CA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2026-05-10T04:22:00Z</dcterms:created>
  <dc:creator>pengborong</dc:creator>
  <cp:lastModifiedBy>守望</cp:lastModifiedBy>
  <dcterms:modified xsi:type="dcterms:W3CDTF">2026-05-12T13:11:04Z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wqlLaW5nc29mdCBQREYgdG8gV1BTIDEyMA</vt:lpwstr>
  </property>
  <property fmtid="{D5CDD505-2E9C-101B-9397-08002B2CF9AE}" pid="3" name="Created">
    <vt:filetime>2026-05-10T13:52:09Z</vt:filetime>
  </property>
  <property fmtid="{D5CDD505-2E9C-101B-9397-08002B2CF9AE}" pid="4" name="KSOTemplateDocerSaveRecord">
    <vt:lpwstr>eyJoZGlkIjoiNjFjNmU4MThkYzY0ZDE4YzJhN2QyMGNkZjlhNDEzNjAiLCJ1c2VySWQiOiI4MTQ5MTY0OTcifQ==</vt:lpwstr>
  </property>
  <property fmtid="{D5CDD505-2E9C-101B-9397-08002B2CF9AE}" pid="5" name="KSOProductBuildVer">
    <vt:lpwstr>2052-12.1.0.25225</vt:lpwstr>
  </property>
  <property fmtid="{D5CDD505-2E9C-101B-9397-08002B2CF9AE}" pid="6" name="ICV">
    <vt:lpwstr>CD053BD494DE46398B8BC6D8509D8802_12</vt:lpwstr>
  </property>
</Properties>
</file>